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B448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4B448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4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B448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B44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B448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B448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B448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B448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4B448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4B448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B4483">
        <w:rPr>
          <w:rFonts w:ascii="Times New Roman" w:hAnsi="Times New Roman"/>
          <w:color w:val="auto"/>
          <w:lang w:val="uk-UA"/>
        </w:rPr>
        <w:t>ВИСНОВКИ</w:t>
      </w:r>
      <w:r w:rsidR="00976517" w:rsidRPr="004B448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B448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B448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4B4483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18</w:t>
      </w:r>
      <w:r w:rsidR="00BF409B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F5925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травня</w:t>
      </w:r>
      <w:r w:rsidR="00403591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4B448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F5342E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4B4483" w:rsidRPr="00F534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4B4483" w:rsidRPr="00434A22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4B4483" w:rsidRPr="00434A22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F5342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F5342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доручення/рекомендації. </w:t>
      </w:r>
    </w:p>
    <w:p w:rsidR="00E26E8E" w:rsidRPr="004B448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4B448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B4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4B448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E26E8E" w:rsidRPr="004B448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Pr="00831972" w:rsidRDefault="004B4483" w:rsidP="004B4483">
      <w:pPr>
        <w:pStyle w:val="a9"/>
        <w:numPr>
          <w:ilvl w:val="0"/>
          <w:numId w:val="36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right="-79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одноголосно порядок денний </w:t>
      </w:r>
      <w:r w:rsidRPr="0083197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ХХХ</w:t>
      </w:r>
      <w:r w:rsidRPr="00434A22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83197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сесії Криворізької міської ради</w:t>
      </w:r>
      <w:r w:rsidRPr="008319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197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8319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041DCC" w:rsidRPr="00FF0457" w:rsidRDefault="009A1B69" w:rsidP="00041DCC">
      <w:pPr>
        <w:pStyle w:val="a9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57">
        <w:rPr>
          <w:rFonts w:ascii="Times New Roman" w:hAnsi="Times New Roman" w:cs="Times New Roman"/>
          <w:sz w:val="28"/>
          <w:szCs w:val="28"/>
          <w:lang w:val="uk-UA"/>
        </w:rPr>
        <w:t>Вважати, що п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роект рішен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</w:t>
      </w:r>
      <w:r w:rsidR="004B4483" w:rsidRPr="000A17E4"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для суб’єктів малого підприємництва міста Кривого Рогу на 2019 рік»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>та аналіз його регуляторного впливу відповідають вимогам чинного законодавства,  у тому числі ст.ст.4,8 Закону України «Про засади державної регуляторної політики у сфері господарської діяльності»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A1B69" w:rsidRPr="00FF0457" w:rsidRDefault="009A1B69" w:rsidP="00041DCC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5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огодитись з обґрунтуваннями розробників проекту регуляторного </w:t>
      </w:r>
      <w:proofErr w:type="spellStart"/>
      <w:r w:rsidRPr="00FF0457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щодо врахування або відхилення одержаних пропозицій до проекту рішення від Державної регуляторної служби України (</w:t>
      </w:r>
      <w:r w:rsidRPr="00FF0457">
        <w:rPr>
          <w:rFonts w:ascii="Times New Roman" w:hAnsi="Times New Roman" w:cs="Times New Roman"/>
          <w:spacing w:val="-20"/>
          <w:sz w:val="28"/>
          <w:szCs w:val="28"/>
          <w:lang w:val="uk-UA"/>
        </w:rPr>
        <w:t>лист від 03.04.2018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FF0457">
        <w:rPr>
          <w:rFonts w:ascii="Times New Roman" w:hAnsi="Times New Roman" w:cs="Times New Roman"/>
          <w:spacing w:val="-20"/>
          <w:sz w:val="28"/>
          <w:szCs w:val="28"/>
          <w:lang w:val="uk-UA"/>
        </w:rPr>
        <w:t>3457/0/20-18).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Урахувати лист Дніпропетровського територіального відділення Анти</w:t>
      </w:r>
      <w:r w:rsidR="004839F4" w:rsidRPr="00FF045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монопольного комітету України від 12.03.2018 №646/27/06-18. </w:t>
      </w:r>
    </w:p>
    <w:p w:rsidR="00041DCC" w:rsidRPr="00FF0457" w:rsidRDefault="009A1B69" w:rsidP="00041DCC">
      <w:pPr>
        <w:pStyle w:val="a9"/>
        <w:numPr>
          <w:ilvl w:val="0"/>
          <w:numId w:val="36"/>
        </w:numPr>
        <w:tabs>
          <w:tab w:val="left" w:pos="0"/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проект рішення міської ради 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податку на </w:t>
      </w:r>
      <w:r w:rsidR="004B4483" w:rsidRPr="000A17E4">
        <w:rPr>
          <w:rFonts w:ascii="Times New Roman" w:hAnsi="Times New Roman" w:cs="Times New Roman"/>
          <w:sz w:val="28"/>
          <w:szCs w:val="28"/>
          <w:lang w:val="uk-UA"/>
        </w:rPr>
        <w:t>нерухоме майно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, відмінне від земельної ділянки, у  м. Кривому Розі на 2019 рік»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>та аналіз його регуляторного впливу відповідають вимогам чинного законодавства,  у тому числі ст.ст.4,8 Закону України «Про засади державної регуляторної політики у сфері господарської діяльності»</w:t>
      </w:r>
      <w:r w:rsidR="00041DCC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41DCC" w:rsidRPr="00FF0457" w:rsidRDefault="00041DCC" w:rsidP="00041DCC">
      <w:pPr>
        <w:tabs>
          <w:tab w:val="left" w:pos="0"/>
          <w:tab w:val="left" w:pos="7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5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зяти до уваги відсутність зауважень та пропозицій до проекту рішення Державної регуляторної служби України (лист від 02.04.2018 №3411/0/20-18), Дніпропетровського територіального відділення Антимонопольного комітету України (лист від  03.04.2018 №834/27/06-18) та погодитись з обґрунтуваннями розробників проекту регуляторного </w:t>
      </w:r>
      <w:proofErr w:type="spellStart"/>
      <w:r w:rsidRPr="00FF0457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щодо врахування або відхилення одержаних пропозицій. </w:t>
      </w:r>
    </w:p>
    <w:p w:rsidR="009A1B69" w:rsidRPr="00FF0457" w:rsidRDefault="004B4483" w:rsidP="0080733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9F4" w:rsidRPr="00FF0457" w:rsidRDefault="00FF0457" w:rsidP="004B4483">
      <w:pPr>
        <w:pStyle w:val="a9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F0457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Відносно п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роект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«Про встановлення ставки </w:t>
      </w:r>
      <w:r w:rsidR="004B4483" w:rsidRPr="000A17E4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туристичного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збору в м. Кривому Розі на 2019 рік»</w:t>
      </w:r>
      <w:r w:rsidR="009A1B69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взяти до уваги висновок Державної регуляторної служби України (лист від 03.04.2018 №3456/0/20-18) про відсутність в зазначеному проекті рішення норм регуляторного характеру, та те, що його прийняття не потребує реалізації процедур, передбачених Законом України «Про засади  державної регуляторної політики у сфері господарської діяльності», лист Дніпропетровського територіального відділення Антимонопольного комітету України від 04.04.2018 №54-02/13.</w:t>
      </w:r>
      <w:r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</w:t>
      </w:r>
      <w:r w:rsidR="009A1B69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>проект рішення міської ради не містить норм регуляторного характеру</w:t>
      </w:r>
      <w:r w:rsidR="009A1B69" w:rsidRPr="00FF04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4483" w:rsidRPr="00FF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9F4" w:rsidRPr="0080733F" w:rsidRDefault="004839F4" w:rsidP="004839F4">
      <w:pPr>
        <w:pStyle w:val="a9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Вважати, що п</w:t>
      </w:r>
      <w:r w:rsidRPr="009A1B69">
        <w:rPr>
          <w:rFonts w:ascii="Times New Roman" w:hAnsi="Times New Roman" w:cs="Times New Roman"/>
          <w:sz w:val="28"/>
          <w:szCs w:val="28"/>
          <w:lang w:val="uk-UA"/>
        </w:rPr>
        <w:t xml:space="preserve">роект  рішення міської ради </w:t>
      </w:r>
      <w:r w:rsidRPr="0080733F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Порядку залучення забудовників до </w:t>
      </w:r>
      <w:r w:rsidRPr="000A17E4">
        <w:rPr>
          <w:rFonts w:ascii="Times New Roman" w:hAnsi="Times New Roman" w:cs="Times New Roman"/>
          <w:sz w:val="28"/>
          <w:szCs w:val="28"/>
          <w:lang w:val="uk-UA"/>
        </w:rPr>
        <w:t>пайової  участі</w:t>
      </w:r>
      <w:r w:rsidRPr="0080733F">
        <w:rPr>
          <w:rFonts w:ascii="Times New Roman" w:hAnsi="Times New Roman" w:cs="Times New Roman"/>
          <w:sz w:val="28"/>
          <w:szCs w:val="28"/>
          <w:lang w:val="uk-UA"/>
        </w:rPr>
        <w:t xml:space="preserve"> в створенні й розвитку інженерно-транспортної та соціальної інфраструктури м. Кривого Рогу» та аналіз його регуляторного впливу відповідають вимогам чинного законодавства,  у тому числі ст.ст.4,8 Закону України «Про засади державної регуляторної політики у сфері господарської діяльності».</w:t>
      </w:r>
    </w:p>
    <w:p w:rsidR="004839F4" w:rsidRDefault="004839F4" w:rsidP="004B448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50502" w:rsidRPr="004B4483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4B448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t>ІI. ДОРУЧЕННЯ/РЕКОМЕНДАЦІЇ:</w:t>
      </w:r>
    </w:p>
    <w:p w:rsidR="0098581C" w:rsidRPr="004B4483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839F4" w:rsidRPr="009B6311" w:rsidRDefault="004839F4" w:rsidP="004B4483">
      <w:pPr>
        <w:pStyle w:val="a9"/>
        <w:numPr>
          <w:ilvl w:val="0"/>
          <w:numId w:val="34"/>
        </w:numPr>
        <w:tabs>
          <w:tab w:val="left" w:pos="0"/>
          <w:tab w:val="left" w:pos="122"/>
          <w:tab w:val="left" w:pos="387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Розробникам п</w:t>
      </w:r>
      <w:r w:rsidR="000A5367" w:rsidRPr="009A1B69">
        <w:rPr>
          <w:rFonts w:ascii="Times New Roman" w:hAnsi="Times New Roman" w:cs="Times New Roman"/>
          <w:sz w:val="28"/>
          <w:szCs w:val="28"/>
          <w:lang w:val="uk-UA"/>
        </w:rPr>
        <w:t>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A5367" w:rsidRPr="009A1B69">
        <w:rPr>
          <w:rFonts w:ascii="Times New Roman" w:hAnsi="Times New Roman" w:cs="Times New Roman"/>
          <w:sz w:val="28"/>
          <w:szCs w:val="28"/>
          <w:lang w:val="uk-UA"/>
        </w:rPr>
        <w:t xml:space="preserve"> 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0A5367" w:rsidRPr="009A1B6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A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5367"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</w:t>
      </w:r>
      <w:r w:rsidR="000A5367" w:rsidRPr="000A17E4"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="000A5367"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 для суб’єктів малого підприємництва міста Кривого Рогу на 2019 рік»</w:t>
      </w:r>
      <w:r w:rsidR="000A5367"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A5367"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податку на </w:t>
      </w:r>
      <w:r w:rsidR="000A5367" w:rsidRPr="000A17E4">
        <w:rPr>
          <w:rFonts w:ascii="Times New Roman" w:hAnsi="Times New Roman" w:cs="Times New Roman"/>
          <w:sz w:val="28"/>
          <w:szCs w:val="28"/>
          <w:lang w:val="uk-UA"/>
        </w:rPr>
        <w:t>нерухоме майно</w:t>
      </w:r>
      <w:r w:rsidR="000A5367" w:rsidRPr="009B6311">
        <w:rPr>
          <w:rFonts w:ascii="Times New Roman" w:hAnsi="Times New Roman" w:cs="Times New Roman"/>
          <w:sz w:val="28"/>
          <w:szCs w:val="28"/>
          <w:lang w:val="uk-UA"/>
        </w:rPr>
        <w:t>, відмінне від земельної ділянки, у  м. Кривому Розі на 2019 рік»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>оприлюднити відповідні матеріали щодо регуляторної діяльності по проект</w:t>
      </w:r>
      <w:r w:rsidR="004F01D6" w:rsidRPr="009B6311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4F01D6"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>на офіційному веб-сайті Криворізької міської ради та її виконкому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>передати на розгляд ХХХV сесії міської ради</w:t>
      </w:r>
      <w:r w:rsidRPr="009B63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5367" w:rsidRPr="004839F4" w:rsidRDefault="004839F4" w:rsidP="004B4483">
      <w:pPr>
        <w:pStyle w:val="a9"/>
        <w:numPr>
          <w:ilvl w:val="0"/>
          <w:numId w:val="34"/>
        </w:numPr>
        <w:tabs>
          <w:tab w:val="left" w:pos="0"/>
          <w:tab w:val="left" w:pos="122"/>
          <w:tab w:val="left" w:pos="387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рішення міської ради </w:t>
      </w:r>
      <w:r w:rsidR="000A5367" w:rsidRPr="009A1B69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ставки </w:t>
      </w:r>
      <w:r w:rsidR="000A5367" w:rsidRPr="000A17E4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туристичного </w:t>
      </w:r>
      <w:r w:rsidR="000A5367" w:rsidRPr="009A1B69">
        <w:rPr>
          <w:rFonts w:ascii="Times New Roman" w:hAnsi="Times New Roman" w:cs="Times New Roman"/>
          <w:sz w:val="28"/>
          <w:szCs w:val="28"/>
          <w:lang w:val="uk-UA"/>
        </w:rPr>
        <w:t>збору в м. Кривому Розі на 2019 рік»</w:t>
      </w:r>
      <w:r w:rsidR="000A5367" w:rsidRPr="000A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5367"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передати на розгляд </w:t>
      </w:r>
      <w:r w:rsidR="000A5367" w:rsidRPr="009A759D">
        <w:rPr>
          <w:rFonts w:ascii="Times New Roman" w:hAnsi="Times New Roman" w:cs="Times New Roman"/>
          <w:sz w:val="28"/>
          <w:szCs w:val="28"/>
          <w:lang w:val="uk-UA"/>
        </w:rPr>
        <w:t>ХХХV</w:t>
      </w:r>
      <w:r w:rsidR="000A5367" w:rsidRPr="00E50816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ради.</w:t>
      </w:r>
    </w:p>
    <w:p w:rsidR="004839F4" w:rsidRPr="004F01D6" w:rsidRDefault="004F01D6" w:rsidP="004F01D6">
      <w:pPr>
        <w:pStyle w:val="a9"/>
        <w:numPr>
          <w:ilvl w:val="0"/>
          <w:numId w:val="34"/>
        </w:numPr>
        <w:tabs>
          <w:tab w:val="left" w:pos="284"/>
        </w:tabs>
        <w:spacing w:after="0" w:line="240" w:lineRule="auto"/>
        <w:ind w:left="0" w:right="-79" w:hanging="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4F01D6">
        <w:rPr>
          <w:rFonts w:ascii="Times New Roman" w:hAnsi="Times New Roman" w:cs="Times New Roman"/>
          <w:sz w:val="28"/>
          <w:szCs w:val="28"/>
          <w:lang w:val="uk-UA"/>
        </w:rPr>
        <w:t xml:space="preserve">роект рішення міської ради «Про внесення змін до Порядку залучення забудовників до </w:t>
      </w:r>
      <w:r w:rsidRPr="000A17E4">
        <w:rPr>
          <w:rFonts w:ascii="Times New Roman" w:hAnsi="Times New Roman" w:cs="Times New Roman"/>
          <w:sz w:val="28"/>
          <w:szCs w:val="28"/>
          <w:lang w:val="uk-UA"/>
        </w:rPr>
        <w:t>пайової</w:t>
      </w:r>
      <w:r w:rsidRPr="004F01D6">
        <w:rPr>
          <w:rFonts w:ascii="Times New Roman" w:hAnsi="Times New Roman" w:cs="Times New Roman"/>
          <w:sz w:val="28"/>
          <w:szCs w:val="28"/>
          <w:lang w:val="uk-UA"/>
        </w:rPr>
        <w:t xml:space="preserve"> участі в створенні й розвитку інженерно-транспортної та соціальної інфраструктури м. Кривого Рогу» та аналізи його регуляторного передати для розгляду експертної комісії з питань підготовки проектів регуляторних актів. У разі отримання позитивного висновку оприлюднити вищевказаний проект регуляторного </w:t>
      </w:r>
      <w:proofErr w:type="spellStart"/>
      <w:r w:rsidRPr="004F01D6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4F01D6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його регуляторного впливу у спосіб визначений чинним законодавством з метою одержання пропозицій/зауважень та направити до Державної регуляторної служби України для  отримання проп</w:t>
      </w:r>
      <w:bookmarkStart w:id="0" w:name="_GoBack"/>
      <w:bookmarkEnd w:id="0"/>
      <w:r w:rsidRPr="004F01D6">
        <w:rPr>
          <w:rFonts w:ascii="Times New Roman" w:hAnsi="Times New Roman" w:cs="Times New Roman"/>
          <w:sz w:val="28"/>
          <w:szCs w:val="28"/>
          <w:lang w:val="uk-UA"/>
        </w:rPr>
        <w:t>озицій відносно вдосконалення проекту відповідно до принципів державної регуляторної служби.</w:t>
      </w:r>
    </w:p>
    <w:p w:rsidR="004B4483" w:rsidRPr="0025220E" w:rsidRDefault="004B4483" w:rsidP="004B4483">
      <w:pPr>
        <w:pStyle w:val="a9"/>
        <w:numPr>
          <w:ilvl w:val="0"/>
          <w:numId w:val="34"/>
        </w:numPr>
        <w:tabs>
          <w:tab w:val="left" w:pos="0"/>
          <w:tab w:val="left" w:pos="122"/>
          <w:tab w:val="left" w:pos="387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 w:rsidRPr="0025220E">
        <w:rPr>
          <w:rFonts w:ascii="Times New Roman" w:hAnsi="Times New Roman"/>
          <w:sz w:val="28"/>
          <w:szCs w:val="28"/>
          <w:lang w:val="uk-UA"/>
        </w:rPr>
        <w:t>Представнику КПТМ «</w:t>
      </w:r>
      <w:proofErr w:type="spellStart"/>
      <w:r w:rsidRPr="0025220E">
        <w:rPr>
          <w:rFonts w:ascii="Times New Roman" w:hAnsi="Times New Roman"/>
          <w:sz w:val="28"/>
          <w:szCs w:val="28"/>
          <w:lang w:val="uk-UA"/>
        </w:rPr>
        <w:t>Криворіжтепломережа</w:t>
      </w:r>
      <w:proofErr w:type="spellEnd"/>
      <w:r w:rsidRPr="0025220E">
        <w:rPr>
          <w:rFonts w:ascii="Times New Roman" w:hAnsi="Times New Roman"/>
          <w:sz w:val="28"/>
          <w:szCs w:val="28"/>
          <w:lang w:val="uk-UA"/>
        </w:rPr>
        <w:t>» доповісти  про виконані роботи зі встановленн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220E">
        <w:rPr>
          <w:rFonts w:ascii="Times New Roman" w:hAnsi="Times New Roman"/>
          <w:sz w:val="28"/>
          <w:szCs w:val="28"/>
          <w:lang w:val="uk-UA"/>
        </w:rPr>
        <w:t>теплов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лічильник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проблемних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>
        <w:rPr>
          <w:rFonts w:ascii="Times New Roman" w:hAnsi="Times New Roman"/>
          <w:sz w:val="28"/>
          <w:szCs w:val="28"/>
          <w:lang w:val="uk-UA"/>
        </w:rPr>
        <w:t>ах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на вул. Алмазній</w:t>
      </w:r>
      <w:r>
        <w:rPr>
          <w:rFonts w:ascii="Times New Roman" w:hAnsi="Times New Roman"/>
          <w:sz w:val="28"/>
          <w:szCs w:val="28"/>
          <w:lang w:val="uk-UA"/>
        </w:rPr>
        <w:t xml:space="preserve">, зокрема в будинку </w:t>
      </w:r>
      <w:r w:rsidRPr="0025220E">
        <w:rPr>
          <w:rFonts w:ascii="Times New Roman" w:hAnsi="Times New Roman"/>
          <w:sz w:val="28"/>
          <w:szCs w:val="28"/>
          <w:lang w:val="uk-UA"/>
        </w:rPr>
        <w:t>№14 (управління благоустрою та житлової політики).</w:t>
      </w:r>
    </w:p>
    <w:p w:rsidR="004B4483" w:rsidRPr="0025220E" w:rsidRDefault="004B4483" w:rsidP="004B4483">
      <w:pPr>
        <w:pStyle w:val="a9"/>
        <w:numPr>
          <w:ilvl w:val="0"/>
          <w:numId w:val="34"/>
        </w:numPr>
        <w:tabs>
          <w:tab w:val="left" w:pos="0"/>
          <w:tab w:val="left" w:pos="122"/>
          <w:tab w:val="left" w:pos="43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 w:rsidRPr="0025220E">
        <w:rPr>
          <w:rFonts w:ascii="Times New Roman" w:hAnsi="Times New Roman"/>
          <w:sz w:val="28"/>
          <w:szCs w:val="28"/>
          <w:lang w:val="uk-UA"/>
        </w:rPr>
        <w:t xml:space="preserve">Розглянути питання щодо можливості виконання проектно-кошторисної документації з ремонту покрівлі бібліотеки-філіалу №11 КЗК «Міська </w:t>
      </w:r>
      <w:r w:rsidRPr="0025220E">
        <w:rPr>
          <w:rFonts w:ascii="Times New Roman" w:hAnsi="Times New Roman"/>
          <w:sz w:val="28"/>
          <w:szCs w:val="28"/>
          <w:lang w:val="uk-UA"/>
        </w:rPr>
        <w:lastRenderedPageBreak/>
        <w:t>бібліотека для дорослих» за рахунок економії коштів міського бюджету (управління культури).</w:t>
      </w:r>
    </w:p>
    <w:p w:rsidR="004B4483" w:rsidRPr="0025220E" w:rsidRDefault="004B4483" w:rsidP="004B4483">
      <w:pPr>
        <w:pStyle w:val="a9"/>
        <w:numPr>
          <w:ilvl w:val="0"/>
          <w:numId w:val="34"/>
        </w:numPr>
        <w:tabs>
          <w:tab w:val="left" w:pos="0"/>
          <w:tab w:val="left" w:pos="122"/>
          <w:tab w:val="left" w:pos="312"/>
        </w:tabs>
        <w:spacing w:after="0" w:line="240" w:lineRule="auto"/>
        <w:ind w:left="0" w:hanging="20"/>
        <w:jc w:val="both"/>
      </w:pPr>
      <w:r w:rsidRPr="0025220E">
        <w:rPr>
          <w:rFonts w:ascii="Times New Roman" w:eastAsia="Times New Roman" w:hAnsi="Times New Roman"/>
          <w:sz w:val="28"/>
          <w:szCs w:val="28"/>
          <w:lang w:val="uk-UA"/>
        </w:rPr>
        <w:t xml:space="preserve">Інформувати про хід виконання ремонтних робіт станції швидкісного трамвая «Зарічна» </w:t>
      </w:r>
      <w:r w:rsidRPr="0025220E">
        <w:rPr>
          <w:rFonts w:ascii="Times New Roman" w:hAnsi="Times New Roman"/>
          <w:sz w:val="28"/>
          <w:szCs w:val="28"/>
        </w:rPr>
        <w:t>(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відділ транспорту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25220E">
        <w:rPr>
          <w:rFonts w:ascii="Times New Roman" w:hAnsi="Times New Roman"/>
          <w:sz w:val="28"/>
          <w:szCs w:val="28"/>
          <w:lang w:val="uk-UA"/>
        </w:rPr>
        <w:t xml:space="preserve"> зв’язку</w:t>
      </w:r>
      <w:r w:rsidRPr="0025220E">
        <w:rPr>
          <w:rFonts w:ascii="Times New Roman" w:hAnsi="Times New Roman"/>
          <w:spacing w:val="-20"/>
          <w:sz w:val="28"/>
          <w:szCs w:val="28"/>
        </w:rPr>
        <w:t>)</w:t>
      </w:r>
      <w:r w:rsidRPr="0025220E">
        <w:rPr>
          <w:rFonts w:ascii="Times New Roman" w:hAnsi="Times New Roman"/>
          <w:spacing w:val="-20"/>
          <w:sz w:val="28"/>
          <w:szCs w:val="28"/>
          <w:lang w:val="uk-UA"/>
        </w:rPr>
        <w:t>.</w:t>
      </w:r>
    </w:p>
    <w:p w:rsidR="004B4483" w:rsidRPr="00A07110" w:rsidRDefault="004B4483" w:rsidP="004B4483">
      <w:pPr>
        <w:pStyle w:val="a9"/>
        <w:numPr>
          <w:ilvl w:val="0"/>
          <w:numId w:val="34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hanging="20"/>
        <w:jc w:val="both"/>
        <w:rPr>
          <w:color w:val="FF0000"/>
        </w:rPr>
      </w:pPr>
      <w:r w:rsidRPr="00A07110">
        <w:rPr>
          <w:rFonts w:ascii="Times New Roman" w:hAnsi="Times New Roman"/>
          <w:sz w:val="28"/>
          <w:szCs w:val="28"/>
          <w:lang w:val="uk-UA"/>
        </w:rPr>
        <w:t xml:space="preserve">Рекомендації, напрацьовані на засіданні ПК від 20.04.2018, залишити на контролі: постійній комісії з питань регуляторної політики та 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підприєм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07110">
        <w:rPr>
          <w:rFonts w:ascii="Times New Roman" w:hAnsi="Times New Roman"/>
          <w:sz w:val="28"/>
          <w:szCs w:val="28"/>
          <w:lang w:val="uk-UA"/>
        </w:rPr>
        <w:t>ництва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повторно розглянути питання щодо зміни ставки збору за про</w:t>
      </w:r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вадження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діяльності із забезпечення паркування транспортних засобів КП «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Парковка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і реклама»; на  засідання зазначеної комісії при розгляді питання запросити члена постійної комісії з питань планування бюджету та економіки  та представника КП «</w:t>
      </w:r>
      <w:proofErr w:type="spellStart"/>
      <w:r w:rsidRPr="00A07110">
        <w:rPr>
          <w:rFonts w:ascii="Times New Roman" w:hAnsi="Times New Roman"/>
          <w:sz w:val="28"/>
          <w:szCs w:val="28"/>
          <w:lang w:val="uk-UA"/>
        </w:rPr>
        <w:t>Парковка</w:t>
      </w:r>
      <w:proofErr w:type="spellEnd"/>
      <w:r w:rsidRPr="00A07110">
        <w:rPr>
          <w:rFonts w:ascii="Times New Roman" w:hAnsi="Times New Roman"/>
          <w:sz w:val="28"/>
          <w:szCs w:val="28"/>
          <w:lang w:val="uk-UA"/>
        </w:rPr>
        <w:t xml:space="preserve"> і реклама».</w:t>
      </w:r>
    </w:p>
    <w:p w:rsidR="006D7929" w:rsidRPr="004B448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4B448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B448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4B4483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p w:rsidR="00E26E8E" w:rsidRPr="004B4483" w:rsidRDefault="00E26E8E" w:rsidP="00E26E8E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E26E8E" w:rsidRPr="004B4483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4B448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32" w:rsidRDefault="008C0732" w:rsidP="001A43E3">
      <w:pPr>
        <w:spacing w:after="0" w:line="240" w:lineRule="auto"/>
      </w:pPr>
      <w:r>
        <w:separator/>
      </w:r>
    </w:p>
  </w:endnote>
  <w:endnote w:type="continuationSeparator" w:id="0">
    <w:p w:rsidR="008C0732" w:rsidRDefault="008C0732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32" w:rsidRDefault="008C0732" w:rsidP="001A43E3">
      <w:pPr>
        <w:spacing w:after="0" w:line="240" w:lineRule="auto"/>
      </w:pPr>
      <w:r>
        <w:separator/>
      </w:r>
    </w:p>
  </w:footnote>
  <w:footnote w:type="continuationSeparator" w:id="0">
    <w:p w:rsidR="008C0732" w:rsidRDefault="008C0732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0A17E4">
          <w:rPr>
            <w:noProof/>
          </w:rPr>
          <w:t>3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5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7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8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5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7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4"/>
  </w:num>
  <w:num w:numId="4">
    <w:abstractNumId w:val="1"/>
  </w:num>
  <w:num w:numId="5">
    <w:abstractNumId w:val="20"/>
  </w:num>
  <w:num w:numId="6">
    <w:abstractNumId w:val="13"/>
  </w:num>
  <w:num w:numId="7">
    <w:abstractNumId w:val="19"/>
  </w:num>
  <w:num w:numId="8">
    <w:abstractNumId w:val="37"/>
  </w:num>
  <w:num w:numId="9">
    <w:abstractNumId w:val="7"/>
  </w:num>
  <w:num w:numId="10">
    <w:abstractNumId w:val="8"/>
  </w:num>
  <w:num w:numId="11">
    <w:abstractNumId w:val="31"/>
  </w:num>
  <w:num w:numId="12">
    <w:abstractNumId w:val="28"/>
  </w:num>
  <w:num w:numId="13">
    <w:abstractNumId w:val="10"/>
  </w:num>
  <w:num w:numId="14">
    <w:abstractNumId w:val="0"/>
  </w:num>
  <w:num w:numId="15">
    <w:abstractNumId w:val="2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7"/>
  </w:num>
  <w:num w:numId="19">
    <w:abstractNumId w:val="29"/>
  </w:num>
  <w:num w:numId="20">
    <w:abstractNumId w:val="25"/>
  </w:num>
  <w:num w:numId="21">
    <w:abstractNumId w:val="15"/>
  </w:num>
  <w:num w:numId="22">
    <w:abstractNumId w:val="34"/>
  </w:num>
  <w:num w:numId="23">
    <w:abstractNumId w:val="11"/>
  </w:num>
  <w:num w:numId="24">
    <w:abstractNumId w:val="6"/>
  </w:num>
  <w:num w:numId="25">
    <w:abstractNumId w:val="21"/>
  </w:num>
  <w:num w:numId="26">
    <w:abstractNumId w:val="32"/>
  </w:num>
  <w:num w:numId="27">
    <w:abstractNumId w:val="3"/>
  </w:num>
  <w:num w:numId="28">
    <w:abstractNumId w:val="27"/>
  </w:num>
  <w:num w:numId="29">
    <w:abstractNumId w:val="2"/>
  </w:num>
  <w:num w:numId="30">
    <w:abstractNumId w:val="23"/>
  </w:num>
  <w:num w:numId="31">
    <w:abstractNumId w:val="36"/>
  </w:num>
  <w:num w:numId="32">
    <w:abstractNumId w:val="16"/>
  </w:num>
  <w:num w:numId="33">
    <w:abstractNumId w:val="4"/>
  </w:num>
  <w:num w:numId="34">
    <w:abstractNumId w:val="14"/>
  </w:num>
  <w:num w:numId="35">
    <w:abstractNumId w:val="33"/>
  </w:num>
  <w:num w:numId="36">
    <w:abstractNumId w:val="18"/>
  </w:num>
  <w:num w:numId="37">
    <w:abstractNumId w:val="3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E47DB"/>
    <w:rsid w:val="007E54AB"/>
    <w:rsid w:val="007F715A"/>
    <w:rsid w:val="00804B82"/>
    <w:rsid w:val="0080733F"/>
    <w:rsid w:val="0081422F"/>
    <w:rsid w:val="00842FEF"/>
    <w:rsid w:val="008547EC"/>
    <w:rsid w:val="008575F1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1A433-3E31-4463-9DF0-BCAC85D1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3</Pages>
  <Words>3614</Words>
  <Characters>2061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227</cp:revision>
  <cp:lastPrinted>2017-07-25T11:40:00Z</cp:lastPrinted>
  <dcterms:created xsi:type="dcterms:W3CDTF">2016-01-22T11:38:00Z</dcterms:created>
  <dcterms:modified xsi:type="dcterms:W3CDTF">2018-05-22T08:32:00Z</dcterms:modified>
</cp:coreProperties>
</file>