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79C" w:rsidRDefault="00B5733E" w:rsidP="0078779C">
      <w:pPr>
        <w:tabs>
          <w:tab w:val="left" w:pos="0"/>
          <w:tab w:val="left" w:pos="9498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ЗВІТ</w:t>
      </w:r>
    </w:p>
    <w:p w:rsidR="00EA7427" w:rsidRDefault="00DF33F8" w:rsidP="00EA7427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proofErr w:type="spellStart"/>
      <w:r>
        <w:rPr>
          <w:b/>
          <w:i/>
          <w:sz w:val="28"/>
          <w:szCs w:val="28"/>
        </w:rPr>
        <w:t>ро</w:t>
      </w:r>
      <w:proofErr w:type="spellEnd"/>
      <w:r>
        <w:rPr>
          <w:b/>
          <w:i/>
          <w:sz w:val="28"/>
          <w:szCs w:val="28"/>
        </w:rPr>
        <w:t xml:space="preserve"> роботу </w:t>
      </w:r>
      <w:r>
        <w:rPr>
          <w:b/>
          <w:i/>
          <w:sz w:val="28"/>
          <w:szCs w:val="28"/>
          <w:lang w:val="uk-UA"/>
        </w:rPr>
        <w:t>департаменту</w:t>
      </w:r>
      <w:r w:rsidR="0078779C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фінансів</w:t>
      </w:r>
    </w:p>
    <w:p w:rsidR="00DF33F8" w:rsidRDefault="00DF33F8" w:rsidP="0078779C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виконкому Криворізької міської ради</w:t>
      </w:r>
      <w:r w:rsidR="00EA7427">
        <w:rPr>
          <w:b/>
          <w:i/>
          <w:sz w:val="28"/>
          <w:szCs w:val="28"/>
          <w:lang w:val="uk-UA"/>
        </w:rPr>
        <w:t xml:space="preserve"> </w:t>
      </w:r>
      <w:r w:rsidR="003B235F">
        <w:rPr>
          <w:b/>
          <w:i/>
          <w:sz w:val="28"/>
          <w:szCs w:val="28"/>
          <w:lang w:val="uk-UA"/>
        </w:rPr>
        <w:t>у</w:t>
      </w:r>
      <w:r>
        <w:rPr>
          <w:b/>
          <w:i/>
          <w:sz w:val="28"/>
          <w:szCs w:val="28"/>
          <w:lang w:val="uk-UA"/>
        </w:rPr>
        <w:t xml:space="preserve"> 202</w:t>
      </w:r>
      <w:r w:rsidR="00B8672F">
        <w:rPr>
          <w:b/>
          <w:i/>
          <w:sz w:val="28"/>
          <w:szCs w:val="28"/>
          <w:lang w:val="uk-UA"/>
        </w:rPr>
        <w:t>3</w:t>
      </w:r>
      <w:r>
        <w:rPr>
          <w:b/>
          <w:i/>
          <w:sz w:val="28"/>
          <w:szCs w:val="28"/>
          <w:lang w:val="uk-UA"/>
        </w:rPr>
        <w:t xml:space="preserve"> році</w:t>
      </w:r>
    </w:p>
    <w:p w:rsidR="00DF33F8" w:rsidRDefault="00DF33F8" w:rsidP="00DF33F8">
      <w:pPr>
        <w:ind w:firstLine="709"/>
        <w:jc w:val="both"/>
        <w:rPr>
          <w:sz w:val="28"/>
          <w:szCs w:val="28"/>
          <w:lang w:val="uk-UA"/>
        </w:rPr>
      </w:pPr>
    </w:p>
    <w:p w:rsidR="00ED037F" w:rsidRPr="002069E0" w:rsidRDefault="00ED037F" w:rsidP="00B5733E">
      <w:pPr>
        <w:ind w:firstLine="567"/>
        <w:jc w:val="both"/>
        <w:rPr>
          <w:sz w:val="28"/>
          <w:szCs w:val="28"/>
          <w:lang w:val="uk-UA"/>
        </w:rPr>
      </w:pPr>
      <w:r w:rsidRPr="002069E0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>повноважень</w:t>
      </w:r>
      <w:r w:rsidR="00F070C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визначених </w:t>
      </w:r>
      <w:r w:rsidRPr="002069E0">
        <w:rPr>
          <w:sz w:val="28"/>
          <w:szCs w:val="28"/>
          <w:lang w:val="uk-UA"/>
        </w:rPr>
        <w:t>Бюджетн</w:t>
      </w:r>
      <w:r>
        <w:rPr>
          <w:sz w:val="28"/>
          <w:szCs w:val="28"/>
          <w:lang w:val="uk-UA"/>
        </w:rPr>
        <w:t>им</w:t>
      </w:r>
      <w:r w:rsidRPr="002069E0">
        <w:rPr>
          <w:sz w:val="28"/>
          <w:szCs w:val="28"/>
          <w:lang w:val="uk-UA"/>
        </w:rPr>
        <w:t xml:space="preserve"> кодекс</w:t>
      </w:r>
      <w:r>
        <w:rPr>
          <w:sz w:val="28"/>
          <w:szCs w:val="28"/>
          <w:lang w:val="uk-UA"/>
        </w:rPr>
        <w:t>ом</w:t>
      </w:r>
      <w:r w:rsidRPr="002069E0">
        <w:rPr>
          <w:sz w:val="28"/>
          <w:szCs w:val="28"/>
          <w:lang w:val="uk-UA"/>
        </w:rPr>
        <w:t xml:space="preserve"> України</w:t>
      </w:r>
      <w:r w:rsidR="00F070C3">
        <w:rPr>
          <w:sz w:val="28"/>
          <w:szCs w:val="28"/>
          <w:lang w:val="uk-UA"/>
        </w:rPr>
        <w:t>,</w:t>
      </w:r>
      <w:r w:rsidRPr="002069E0">
        <w:rPr>
          <w:sz w:val="28"/>
          <w:szCs w:val="28"/>
          <w:lang w:val="uk-UA"/>
        </w:rPr>
        <w:t xml:space="preserve"> департамент фінансів виконкому</w:t>
      </w:r>
      <w:r w:rsidR="00E03503">
        <w:rPr>
          <w:sz w:val="28"/>
          <w:szCs w:val="28"/>
          <w:lang w:val="uk-UA"/>
        </w:rPr>
        <w:t xml:space="preserve"> Криворізької міської ради</w:t>
      </w:r>
      <w:r w:rsidRPr="002069E0">
        <w:rPr>
          <w:sz w:val="28"/>
          <w:szCs w:val="28"/>
          <w:lang w:val="uk-UA"/>
        </w:rPr>
        <w:t xml:space="preserve"> як місцевий фінансовий орган здійснює функції зі складання, виконання бюджету</w:t>
      </w:r>
      <w:r>
        <w:rPr>
          <w:sz w:val="28"/>
          <w:szCs w:val="28"/>
          <w:lang w:val="uk-UA"/>
        </w:rPr>
        <w:t xml:space="preserve"> Криворізької міської територіальної громади</w:t>
      </w:r>
      <w:r w:rsidRPr="002069E0">
        <w:rPr>
          <w:sz w:val="28"/>
          <w:szCs w:val="28"/>
          <w:lang w:val="uk-UA"/>
        </w:rPr>
        <w:t xml:space="preserve">, контролю за дотриманням бюджетного законодавства на кожній стадії бюджетного процесу, а також інші функції, пов'язані з управлінням коштами </w:t>
      </w:r>
      <w:r w:rsidR="00E03503">
        <w:rPr>
          <w:sz w:val="28"/>
          <w:szCs w:val="28"/>
          <w:lang w:val="uk-UA"/>
        </w:rPr>
        <w:t>бюджету Криворізької міської територіальної громади.</w:t>
      </w:r>
    </w:p>
    <w:p w:rsidR="00ED037F" w:rsidRPr="00466039" w:rsidRDefault="00E03503" w:rsidP="00B5733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ED037F">
        <w:rPr>
          <w:sz w:val="28"/>
          <w:szCs w:val="28"/>
          <w:lang w:val="uk-UA"/>
        </w:rPr>
        <w:t xml:space="preserve">же другий рік поспіль планування показників бюджету, їх виконання та вжиття заходів </w:t>
      </w:r>
      <w:r>
        <w:rPr>
          <w:sz w:val="28"/>
          <w:szCs w:val="28"/>
          <w:lang w:val="uk-UA"/>
        </w:rPr>
        <w:t xml:space="preserve">з </w:t>
      </w:r>
      <w:r w:rsidR="00ED037F">
        <w:rPr>
          <w:sz w:val="28"/>
          <w:szCs w:val="28"/>
          <w:lang w:val="uk-UA"/>
        </w:rPr>
        <w:t>вирішенн</w:t>
      </w:r>
      <w:r>
        <w:rPr>
          <w:sz w:val="28"/>
          <w:szCs w:val="28"/>
          <w:lang w:val="uk-UA"/>
        </w:rPr>
        <w:t>я</w:t>
      </w:r>
      <w:r w:rsidR="00ED037F" w:rsidRPr="006A499B">
        <w:rPr>
          <w:sz w:val="28"/>
          <w:szCs w:val="28"/>
          <w:lang w:val="uk-UA"/>
        </w:rPr>
        <w:t xml:space="preserve"> важливих питань </w:t>
      </w:r>
      <w:r w:rsidR="00ED037F" w:rsidRPr="00375B54">
        <w:rPr>
          <w:sz w:val="28"/>
          <w:szCs w:val="28"/>
          <w:lang w:val="uk-UA"/>
        </w:rPr>
        <w:t>моб</w:t>
      </w:r>
      <w:r w:rsidR="00ED037F">
        <w:rPr>
          <w:sz w:val="28"/>
          <w:szCs w:val="28"/>
          <w:lang w:val="uk-UA"/>
        </w:rPr>
        <w:t xml:space="preserve">ілізації надходжень, своєчасного фінансування видатків, поліпшення умов надання адміністративних послуг, </w:t>
      </w:r>
      <w:r w:rsidR="00ED037F" w:rsidRPr="006A499B">
        <w:rPr>
          <w:sz w:val="28"/>
          <w:szCs w:val="28"/>
          <w:lang w:val="uk-UA"/>
        </w:rPr>
        <w:t>забезпечення захисту та життєдіяльності</w:t>
      </w:r>
      <w:r w:rsidR="00ED037F">
        <w:rPr>
          <w:sz w:val="28"/>
          <w:szCs w:val="28"/>
          <w:lang w:val="uk-UA"/>
        </w:rPr>
        <w:t xml:space="preserve"> міста</w:t>
      </w:r>
      <w:r w:rsidR="00ED037F" w:rsidRPr="006A499B">
        <w:rPr>
          <w:sz w:val="28"/>
          <w:szCs w:val="28"/>
          <w:lang w:val="uk-UA"/>
        </w:rPr>
        <w:t>, а тако</w:t>
      </w:r>
      <w:r w:rsidR="00ED037F">
        <w:rPr>
          <w:sz w:val="28"/>
          <w:szCs w:val="28"/>
          <w:lang w:val="uk-UA"/>
        </w:rPr>
        <w:t>ж соціал</w:t>
      </w:r>
      <w:r>
        <w:rPr>
          <w:sz w:val="28"/>
          <w:szCs w:val="28"/>
          <w:lang w:val="uk-UA"/>
        </w:rPr>
        <w:t>ьної підтримки громадян здійснюю</w:t>
      </w:r>
      <w:r w:rsidR="00ED037F">
        <w:rPr>
          <w:sz w:val="28"/>
          <w:szCs w:val="28"/>
          <w:lang w:val="uk-UA"/>
        </w:rPr>
        <w:t xml:space="preserve">ться в умовах війни. </w:t>
      </w:r>
    </w:p>
    <w:p w:rsidR="00ED037F" w:rsidRPr="0010142D" w:rsidRDefault="00ED037F" w:rsidP="00B5733E">
      <w:pPr>
        <w:pStyle w:val="2"/>
        <w:spacing w:after="0" w:line="240" w:lineRule="auto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Pr="0010142D">
        <w:rPr>
          <w:sz w:val="28"/>
          <w:szCs w:val="28"/>
          <w:lang w:val="uk-UA"/>
        </w:rPr>
        <w:t>виявл</w:t>
      </w:r>
      <w:r>
        <w:rPr>
          <w:sz w:val="28"/>
          <w:szCs w:val="28"/>
          <w:lang w:val="uk-UA"/>
        </w:rPr>
        <w:t>ення</w:t>
      </w:r>
      <w:r w:rsidRPr="0010142D">
        <w:rPr>
          <w:sz w:val="28"/>
          <w:szCs w:val="28"/>
          <w:lang w:val="uk-UA"/>
        </w:rPr>
        <w:t xml:space="preserve"> резерв</w:t>
      </w:r>
      <w:r>
        <w:rPr>
          <w:sz w:val="28"/>
          <w:szCs w:val="28"/>
          <w:lang w:val="uk-UA"/>
        </w:rPr>
        <w:t>ів</w:t>
      </w:r>
      <w:r w:rsidRPr="0010142D">
        <w:rPr>
          <w:sz w:val="28"/>
          <w:szCs w:val="28"/>
          <w:lang w:val="uk-UA"/>
        </w:rPr>
        <w:t xml:space="preserve"> надходжень </w:t>
      </w:r>
      <w:r w:rsidR="00E03503">
        <w:rPr>
          <w:sz w:val="28"/>
          <w:szCs w:val="28"/>
          <w:lang w:val="uk-UA"/>
        </w:rPr>
        <w:t>і</w:t>
      </w:r>
      <w:r w:rsidRPr="001014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10142D">
        <w:rPr>
          <w:sz w:val="28"/>
          <w:szCs w:val="28"/>
          <w:lang w:val="uk-UA"/>
        </w:rPr>
        <w:t>жи</w:t>
      </w:r>
      <w:r>
        <w:rPr>
          <w:sz w:val="28"/>
          <w:szCs w:val="28"/>
          <w:lang w:val="uk-UA"/>
        </w:rPr>
        <w:t>ття</w:t>
      </w:r>
      <w:r w:rsidRPr="0010142D">
        <w:rPr>
          <w:sz w:val="28"/>
          <w:szCs w:val="28"/>
          <w:lang w:val="uk-UA"/>
        </w:rPr>
        <w:t xml:space="preserve"> необхідн</w:t>
      </w:r>
      <w:r>
        <w:rPr>
          <w:sz w:val="28"/>
          <w:szCs w:val="28"/>
          <w:lang w:val="uk-UA"/>
        </w:rPr>
        <w:t>их</w:t>
      </w:r>
      <w:r w:rsidRPr="0010142D">
        <w:rPr>
          <w:sz w:val="28"/>
          <w:szCs w:val="28"/>
          <w:lang w:val="uk-UA"/>
        </w:rPr>
        <w:t xml:space="preserve"> заход</w:t>
      </w:r>
      <w:r>
        <w:rPr>
          <w:sz w:val="28"/>
          <w:szCs w:val="28"/>
          <w:lang w:val="uk-UA"/>
        </w:rPr>
        <w:t>ів у роботі з платниками посилено співпрацю та взаємодію з Державною податковою службою. У</w:t>
      </w:r>
      <w:r w:rsidRPr="0089017E">
        <w:rPr>
          <w:sz w:val="28"/>
          <w:szCs w:val="28"/>
          <w:lang w:val="uk-UA"/>
        </w:rPr>
        <w:t>кладен</w:t>
      </w:r>
      <w:r w:rsidR="00E03503">
        <w:rPr>
          <w:sz w:val="28"/>
          <w:szCs w:val="28"/>
          <w:lang w:val="uk-UA"/>
        </w:rPr>
        <w:t>о</w:t>
      </w:r>
      <w:r w:rsidRPr="0089017E">
        <w:rPr>
          <w:sz w:val="28"/>
          <w:szCs w:val="28"/>
          <w:lang w:val="uk-UA"/>
        </w:rPr>
        <w:t xml:space="preserve"> Меморандум </w:t>
      </w:r>
      <w:r>
        <w:rPr>
          <w:sz w:val="28"/>
          <w:szCs w:val="28"/>
          <w:lang w:val="uk-UA"/>
        </w:rPr>
        <w:t xml:space="preserve">між податковою службою та виконавчим комітетом міської ради. </w:t>
      </w:r>
      <w:r w:rsidRPr="0010142D">
        <w:rPr>
          <w:sz w:val="28"/>
          <w:szCs w:val="28"/>
          <w:lang w:val="uk-UA"/>
        </w:rPr>
        <w:t>Налагоджен</w:t>
      </w:r>
      <w:r w:rsidR="00E03503">
        <w:rPr>
          <w:sz w:val="28"/>
          <w:szCs w:val="28"/>
          <w:lang w:val="uk-UA"/>
        </w:rPr>
        <w:t>о</w:t>
      </w:r>
      <w:r w:rsidRPr="0010142D">
        <w:rPr>
          <w:sz w:val="28"/>
          <w:szCs w:val="28"/>
          <w:lang w:val="uk-UA"/>
        </w:rPr>
        <w:t xml:space="preserve"> зручний доступ та користування даними з «Електронного кабінету» Державної податкової служби. </w:t>
      </w:r>
    </w:p>
    <w:p w:rsidR="00ED037F" w:rsidRDefault="00ED037F" w:rsidP="00B5733E">
      <w:pPr>
        <w:pStyle w:val="2"/>
        <w:spacing w:after="0" w:line="240" w:lineRule="auto"/>
        <w:ind w:left="0" w:firstLine="567"/>
        <w:jc w:val="both"/>
        <w:rPr>
          <w:sz w:val="28"/>
          <w:szCs w:val="28"/>
          <w:lang w:val="uk-UA"/>
        </w:rPr>
      </w:pPr>
      <w:r w:rsidRPr="00F63D14">
        <w:rPr>
          <w:sz w:val="28"/>
          <w:szCs w:val="28"/>
          <w:lang w:val="uk-UA"/>
        </w:rPr>
        <w:t xml:space="preserve">Міська робоча </w:t>
      </w:r>
      <w:r w:rsidRPr="00466039">
        <w:rPr>
          <w:sz w:val="28"/>
          <w:szCs w:val="28"/>
          <w:lang w:val="uk-UA"/>
        </w:rPr>
        <w:t>груп</w:t>
      </w:r>
      <w:r>
        <w:rPr>
          <w:sz w:val="28"/>
          <w:szCs w:val="28"/>
          <w:lang w:val="uk-UA"/>
        </w:rPr>
        <w:t>а</w:t>
      </w:r>
      <w:r w:rsidRPr="00466039">
        <w:rPr>
          <w:sz w:val="28"/>
          <w:szCs w:val="28"/>
          <w:lang w:val="uk-UA"/>
        </w:rPr>
        <w:t xml:space="preserve"> з питань </w:t>
      </w:r>
      <w:r w:rsidR="00F63D14">
        <w:rPr>
          <w:sz w:val="28"/>
          <w:szCs w:val="28"/>
          <w:lang w:val="uk-UA"/>
        </w:rPr>
        <w:t xml:space="preserve">виконання показників доходів бюджету Криворізької міської територіальної громади та мобілізації додаткових </w:t>
      </w:r>
      <w:r w:rsidRPr="00466039">
        <w:rPr>
          <w:sz w:val="28"/>
          <w:szCs w:val="28"/>
          <w:lang w:val="uk-UA"/>
        </w:rPr>
        <w:t xml:space="preserve">надходжень до бюджету </w:t>
      </w:r>
      <w:r>
        <w:rPr>
          <w:sz w:val="28"/>
          <w:szCs w:val="28"/>
          <w:lang w:val="uk-UA"/>
        </w:rPr>
        <w:t xml:space="preserve">почала працювати </w:t>
      </w:r>
      <w:r w:rsidR="003776E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розширеному форматі з фахівцями податкової служби</w:t>
      </w:r>
      <w:r w:rsidRPr="00466039">
        <w:rPr>
          <w:sz w:val="28"/>
          <w:szCs w:val="28"/>
          <w:lang w:val="uk-UA"/>
        </w:rPr>
        <w:t xml:space="preserve">. У її складі сформовані  підгрупи, </w:t>
      </w:r>
      <w:r w:rsidR="003776E4">
        <w:rPr>
          <w:sz w:val="28"/>
          <w:szCs w:val="28"/>
          <w:lang w:val="uk-UA"/>
        </w:rPr>
        <w:t>що</w:t>
      </w:r>
      <w:r w:rsidRPr="00466039">
        <w:rPr>
          <w:sz w:val="28"/>
          <w:szCs w:val="28"/>
          <w:lang w:val="uk-UA"/>
        </w:rPr>
        <w:t xml:space="preserve"> вживають заходи </w:t>
      </w:r>
      <w:r w:rsidR="003776E4">
        <w:rPr>
          <w:sz w:val="28"/>
          <w:szCs w:val="28"/>
          <w:lang w:val="uk-UA"/>
        </w:rPr>
        <w:t xml:space="preserve">з </w:t>
      </w:r>
      <w:r w:rsidRPr="00466039">
        <w:rPr>
          <w:sz w:val="28"/>
          <w:szCs w:val="28"/>
          <w:lang w:val="uk-UA"/>
        </w:rPr>
        <w:t>надход</w:t>
      </w:r>
      <w:r w:rsidR="00F070C3">
        <w:rPr>
          <w:sz w:val="28"/>
          <w:szCs w:val="28"/>
          <w:lang w:val="uk-UA"/>
        </w:rPr>
        <w:t>женн</w:t>
      </w:r>
      <w:r w:rsidR="003776E4">
        <w:rPr>
          <w:sz w:val="28"/>
          <w:szCs w:val="28"/>
          <w:lang w:val="uk-UA"/>
        </w:rPr>
        <w:t>я</w:t>
      </w:r>
      <w:r w:rsidR="00F070C3">
        <w:rPr>
          <w:sz w:val="28"/>
          <w:szCs w:val="28"/>
          <w:lang w:val="uk-UA"/>
        </w:rPr>
        <w:t xml:space="preserve">  окремих податків, а саме:</w:t>
      </w:r>
      <w:r w:rsidRPr="00466039">
        <w:rPr>
          <w:sz w:val="28"/>
          <w:szCs w:val="28"/>
          <w:lang w:val="uk-UA"/>
        </w:rPr>
        <w:t xml:space="preserve"> з доходів фізичних осіб, акцизного, єдиного, на нерухоме майно, плати за землю, неподаткових платежів.</w:t>
      </w:r>
    </w:p>
    <w:p w:rsidR="00ED037F" w:rsidRDefault="00DF7295" w:rsidP="00ED037F">
      <w:pPr>
        <w:pStyle w:val="2"/>
        <w:spacing w:after="0" w:line="240" w:lineRule="auto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Одним </w:t>
      </w:r>
      <w:r w:rsidR="00CD643F">
        <w:rPr>
          <w:sz w:val="28"/>
          <w:szCs w:val="28"/>
          <w:lang w:val="uk-UA"/>
        </w:rPr>
        <w:t xml:space="preserve">з напрямів </w:t>
      </w:r>
      <w:r w:rsidR="0044085B">
        <w:rPr>
          <w:sz w:val="28"/>
          <w:szCs w:val="28"/>
          <w:lang w:val="uk-UA"/>
        </w:rPr>
        <w:t xml:space="preserve">діяльності </w:t>
      </w:r>
      <w:r w:rsidR="00CD643F">
        <w:rPr>
          <w:sz w:val="28"/>
          <w:szCs w:val="28"/>
          <w:lang w:val="uk-UA"/>
        </w:rPr>
        <w:t xml:space="preserve">робочої групи є скорочення податкового боргу та робота з </w:t>
      </w:r>
      <w:r w:rsidR="00ED037F" w:rsidRPr="00466039">
        <w:rPr>
          <w:sz w:val="28"/>
          <w:szCs w:val="28"/>
          <w:lang w:val="uk-UA"/>
        </w:rPr>
        <w:t>боржниками</w:t>
      </w:r>
      <w:r w:rsidR="00ED037F">
        <w:rPr>
          <w:sz w:val="28"/>
          <w:szCs w:val="28"/>
          <w:lang w:val="uk-UA"/>
        </w:rPr>
        <w:t>.</w:t>
      </w:r>
      <w:r w:rsidR="00ED037F" w:rsidRPr="00466039">
        <w:rPr>
          <w:sz w:val="28"/>
          <w:szCs w:val="28"/>
          <w:lang w:val="uk-UA"/>
        </w:rPr>
        <w:t xml:space="preserve"> </w:t>
      </w:r>
      <w:r w:rsidR="00ED037F">
        <w:rPr>
          <w:sz w:val="28"/>
          <w:szCs w:val="28"/>
          <w:lang w:val="uk-UA"/>
        </w:rPr>
        <w:t xml:space="preserve">Для запрошення таких </w:t>
      </w:r>
      <w:r w:rsidR="00ED037F" w:rsidRPr="00466039">
        <w:rPr>
          <w:sz w:val="28"/>
          <w:szCs w:val="28"/>
          <w:lang w:val="uk-UA"/>
        </w:rPr>
        <w:t>суб’єкт</w:t>
      </w:r>
      <w:r w:rsidR="00ED037F">
        <w:rPr>
          <w:sz w:val="28"/>
          <w:szCs w:val="28"/>
          <w:lang w:val="uk-UA"/>
        </w:rPr>
        <w:t>ів</w:t>
      </w:r>
      <w:r w:rsidR="00ED037F" w:rsidRPr="00466039">
        <w:rPr>
          <w:sz w:val="28"/>
          <w:szCs w:val="28"/>
          <w:lang w:val="uk-UA"/>
        </w:rPr>
        <w:t xml:space="preserve"> господарювання</w:t>
      </w:r>
      <w:r w:rsidR="00ED037F">
        <w:rPr>
          <w:sz w:val="28"/>
          <w:szCs w:val="28"/>
          <w:lang w:val="uk-UA"/>
        </w:rPr>
        <w:t xml:space="preserve"> на засідання робочої групи готувалися матеріали на підставі </w:t>
      </w:r>
      <w:r w:rsidR="00ED037F" w:rsidRPr="0010142D">
        <w:rPr>
          <w:sz w:val="28"/>
          <w:szCs w:val="28"/>
          <w:lang w:val="uk-UA"/>
        </w:rPr>
        <w:t xml:space="preserve">звітів казначейської служби, даних податкової служби, </w:t>
      </w:r>
      <w:r w:rsidR="00811A92">
        <w:rPr>
          <w:sz w:val="28"/>
          <w:szCs w:val="28"/>
          <w:lang w:val="uk-UA"/>
        </w:rPr>
        <w:t xml:space="preserve">відділів, управлінь, інших виконавчих органів </w:t>
      </w:r>
      <w:r w:rsidR="00ED037F" w:rsidRPr="0010142D">
        <w:rPr>
          <w:sz w:val="28"/>
          <w:szCs w:val="28"/>
          <w:lang w:val="uk-UA"/>
        </w:rPr>
        <w:t>міської ради.</w:t>
      </w:r>
      <w:r w:rsidR="00ED037F">
        <w:rPr>
          <w:sz w:val="28"/>
          <w:szCs w:val="28"/>
          <w:lang w:val="uk-UA"/>
        </w:rPr>
        <w:t xml:space="preserve"> Н</w:t>
      </w:r>
      <w:r w:rsidR="00ED037F" w:rsidRPr="00466039">
        <w:rPr>
          <w:sz w:val="28"/>
          <w:szCs w:val="28"/>
          <w:lang w:val="uk-UA"/>
        </w:rPr>
        <w:t xml:space="preserve">а місцях </w:t>
      </w:r>
      <w:r w:rsidR="00ED037F">
        <w:rPr>
          <w:sz w:val="28"/>
          <w:szCs w:val="28"/>
          <w:lang w:val="uk-UA"/>
        </w:rPr>
        <w:t>до роботи з</w:t>
      </w:r>
      <w:r w:rsidR="00ED037F" w:rsidRPr="00466039">
        <w:rPr>
          <w:sz w:val="28"/>
          <w:szCs w:val="28"/>
          <w:lang w:val="uk-UA"/>
        </w:rPr>
        <w:t xml:space="preserve"> боржниками </w:t>
      </w:r>
      <w:r w:rsidR="00ED037F">
        <w:rPr>
          <w:sz w:val="28"/>
          <w:szCs w:val="28"/>
          <w:lang w:val="uk-UA"/>
        </w:rPr>
        <w:t>долучалис</w:t>
      </w:r>
      <w:r w:rsidR="00D35895">
        <w:rPr>
          <w:sz w:val="28"/>
          <w:szCs w:val="28"/>
          <w:lang w:val="uk-UA"/>
        </w:rPr>
        <w:t>я</w:t>
      </w:r>
      <w:r w:rsidR="00ED037F" w:rsidRPr="00466039">
        <w:rPr>
          <w:sz w:val="28"/>
          <w:szCs w:val="28"/>
          <w:lang w:val="uk-UA"/>
        </w:rPr>
        <w:t xml:space="preserve"> виконкоми районних у місті рад. </w:t>
      </w:r>
    </w:p>
    <w:p w:rsidR="00ED037F" w:rsidRPr="00466039" w:rsidRDefault="00ED037F" w:rsidP="00ED037F">
      <w:pPr>
        <w:pStyle w:val="2"/>
        <w:spacing w:after="0" w:line="240" w:lineRule="auto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2023 рік проведено 129 засідань робочої групи та її підгруп. На них було запрошено 871 платник</w:t>
      </w:r>
      <w:r w:rsidR="00F070C3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податків з різних питань. І</w:t>
      </w:r>
      <w:r w:rsidR="00D3589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 результат</w:t>
      </w:r>
      <w:r w:rsidR="00D35895">
        <w:rPr>
          <w:sz w:val="28"/>
          <w:szCs w:val="28"/>
          <w:lang w:val="uk-UA"/>
        </w:rPr>
        <w:t>,</w:t>
      </w:r>
      <w:r w:rsidR="00D93F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роботи – додатково до бюджету міста надійшло понад </w:t>
      </w:r>
      <w:r w:rsidRPr="00706672">
        <w:rPr>
          <w:sz w:val="28"/>
          <w:szCs w:val="28"/>
          <w:lang w:val="uk-UA"/>
        </w:rPr>
        <w:t>57</w:t>
      </w:r>
      <w:r>
        <w:rPr>
          <w:sz w:val="28"/>
          <w:szCs w:val="28"/>
          <w:lang w:val="uk-UA"/>
        </w:rPr>
        <w:t xml:space="preserve"> млн грн, у тому числі майже        </w:t>
      </w:r>
      <w:r w:rsidRPr="00706672">
        <w:rPr>
          <w:sz w:val="28"/>
          <w:szCs w:val="28"/>
          <w:lang w:val="uk-UA"/>
        </w:rPr>
        <w:t>41</w:t>
      </w:r>
      <w:r>
        <w:rPr>
          <w:sz w:val="28"/>
          <w:szCs w:val="28"/>
          <w:lang w:val="uk-UA"/>
        </w:rPr>
        <w:t xml:space="preserve"> млн грн за рахунок погашення податкового боргу.</w:t>
      </w:r>
    </w:p>
    <w:p w:rsidR="008E4217" w:rsidRPr="004C6D79" w:rsidRDefault="008E4217" w:rsidP="008E4217">
      <w:pPr>
        <w:ind w:firstLine="567"/>
        <w:jc w:val="both"/>
        <w:rPr>
          <w:rFonts w:eastAsiaTheme="minorHAnsi"/>
          <w:color w:val="000000"/>
          <w:sz w:val="28"/>
          <w:szCs w:val="28"/>
          <w:shd w:val="clear" w:color="auto" w:fill="FFFFFF"/>
          <w:lang w:val="uk-UA" w:eastAsia="en-US"/>
        </w:rPr>
      </w:pPr>
      <w:r w:rsidRPr="004C6D79">
        <w:rPr>
          <w:color w:val="000000"/>
          <w:sz w:val="28"/>
          <w:szCs w:val="28"/>
          <w:shd w:val="clear" w:color="auto" w:fill="FFFFFF"/>
          <w:lang w:val="uk-UA"/>
        </w:rPr>
        <w:t xml:space="preserve">Завдяки гнучкості та адаптивності підприємств і бізнесу </w:t>
      </w:r>
      <w:r w:rsidR="00847667" w:rsidRPr="004C6D79">
        <w:rPr>
          <w:color w:val="000000"/>
          <w:sz w:val="28"/>
          <w:szCs w:val="28"/>
          <w:shd w:val="clear" w:color="auto" w:fill="FFFFFF"/>
          <w:lang w:val="uk-UA"/>
        </w:rPr>
        <w:t>в умовах війни</w:t>
      </w:r>
      <w:r w:rsidR="0084766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C6D79">
        <w:rPr>
          <w:color w:val="000000"/>
          <w:sz w:val="28"/>
          <w:szCs w:val="28"/>
          <w:shd w:val="clear" w:color="auto" w:fill="FFFFFF"/>
          <w:lang w:val="uk-UA"/>
        </w:rPr>
        <w:t xml:space="preserve">працювати </w:t>
      </w:r>
      <w:r w:rsidR="00D35895">
        <w:rPr>
          <w:color w:val="000000"/>
          <w:sz w:val="28"/>
          <w:szCs w:val="28"/>
          <w:shd w:val="clear" w:color="auto" w:fill="FFFFFF"/>
          <w:lang w:val="uk-UA"/>
        </w:rPr>
        <w:t>й</w:t>
      </w:r>
      <w:r w:rsidRPr="004C6D79">
        <w:rPr>
          <w:color w:val="000000"/>
          <w:sz w:val="28"/>
          <w:szCs w:val="28"/>
          <w:shd w:val="clear" w:color="auto" w:fill="FFFFFF"/>
          <w:lang w:val="uk-UA"/>
        </w:rPr>
        <w:t xml:space="preserve"> сплачувати податки</w:t>
      </w:r>
      <w:r w:rsidR="00847667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0529C1" w:rsidRPr="000529C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C6D79">
        <w:rPr>
          <w:color w:val="000000"/>
          <w:sz w:val="28"/>
          <w:szCs w:val="28"/>
          <w:shd w:val="clear" w:color="auto" w:fill="FFFFFF"/>
          <w:lang w:val="uk-UA"/>
        </w:rPr>
        <w:t>а також системній роботі департаменту фінансів</w:t>
      </w:r>
      <w:r w:rsidR="003A51E6">
        <w:rPr>
          <w:color w:val="000000"/>
          <w:sz w:val="28"/>
          <w:szCs w:val="28"/>
          <w:shd w:val="clear" w:color="auto" w:fill="FFFFFF"/>
          <w:lang w:val="uk-UA"/>
        </w:rPr>
        <w:t xml:space="preserve"> виконкому Криворізької міської ради</w:t>
      </w:r>
      <w:r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Pr="004C6D79">
        <w:rPr>
          <w:color w:val="000000"/>
          <w:sz w:val="28"/>
          <w:szCs w:val="28"/>
          <w:shd w:val="clear" w:color="auto" w:fill="FFFFFF"/>
          <w:lang w:val="uk-UA"/>
        </w:rPr>
        <w:t xml:space="preserve"> податкової служби, </w:t>
      </w:r>
      <w:r w:rsidR="00811A92">
        <w:rPr>
          <w:sz w:val="28"/>
          <w:szCs w:val="28"/>
          <w:lang w:val="uk-UA"/>
        </w:rPr>
        <w:t xml:space="preserve">відділів, управлінь, інших виконавчих органів міської ради </w:t>
      </w:r>
      <w:r w:rsidRPr="004C6D79">
        <w:rPr>
          <w:color w:val="000000"/>
          <w:sz w:val="28"/>
          <w:szCs w:val="28"/>
          <w:shd w:val="clear" w:color="auto" w:fill="FFFFFF"/>
          <w:lang w:val="uk-UA"/>
        </w:rPr>
        <w:t xml:space="preserve">та районних у місті рад забезпечені стабільні надходження до зведеного бюджету міста </w:t>
      </w:r>
      <w:r w:rsidR="00D35895"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Pr="004C6D79">
        <w:rPr>
          <w:color w:val="000000"/>
          <w:sz w:val="28"/>
          <w:szCs w:val="28"/>
          <w:shd w:val="clear" w:color="auto" w:fill="FFFFFF"/>
          <w:lang w:val="uk-UA"/>
        </w:rPr>
        <w:t xml:space="preserve"> сумі </w:t>
      </w:r>
      <w:r w:rsidR="0044085B">
        <w:rPr>
          <w:color w:val="000000"/>
          <w:sz w:val="28"/>
          <w:szCs w:val="28"/>
          <w:shd w:val="clear" w:color="auto" w:fill="FFFFFF"/>
          <w:lang w:val="uk-UA"/>
        </w:rPr>
        <w:t xml:space="preserve">                </w:t>
      </w:r>
      <w:r w:rsidRPr="004C6D79">
        <w:rPr>
          <w:color w:val="000000"/>
          <w:sz w:val="28"/>
          <w:szCs w:val="28"/>
          <w:shd w:val="clear" w:color="auto" w:fill="FFFFFF"/>
          <w:lang w:val="uk-UA"/>
        </w:rPr>
        <w:t xml:space="preserve">10,1 млрд грн, з них податки </w:t>
      </w:r>
      <w:r w:rsidR="00D35895">
        <w:rPr>
          <w:color w:val="000000"/>
          <w:sz w:val="28"/>
          <w:szCs w:val="28"/>
          <w:shd w:val="clear" w:color="auto" w:fill="FFFFFF"/>
          <w:lang w:val="uk-UA"/>
        </w:rPr>
        <w:t>й</w:t>
      </w:r>
      <w:r w:rsidRPr="004C6D79">
        <w:rPr>
          <w:color w:val="000000"/>
          <w:sz w:val="28"/>
          <w:szCs w:val="28"/>
          <w:shd w:val="clear" w:color="auto" w:fill="FFFFFF"/>
          <w:lang w:val="uk-UA"/>
        </w:rPr>
        <w:t xml:space="preserve"> збори</w:t>
      </w:r>
      <w:r w:rsidRPr="004C6D79">
        <w:rPr>
          <w:rFonts w:eastAsiaTheme="minorHAnsi"/>
          <w:color w:val="000000"/>
          <w:sz w:val="28"/>
          <w:szCs w:val="28"/>
          <w:shd w:val="clear" w:color="auto" w:fill="FFFFFF"/>
          <w:lang w:val="uk-UA" w:eastAsia="en-US"/>
        </w:rPr>
        <w:t xml:space="preserve"> – 8,7 млрд грн, трансферти з інших </w:t>
      </w:r>
      <w:r w:rsidR="00D93FD0">
        <w:rPr>
          <w:rFonts w:eastAsiaTheme="minorHAnsi"/>
          <w:color w:val="000000"/>
          <w:sz w:val="28"/>
          <w:szCs w:val="28"/>
          <w:shd w:val="clear" w:color="auto" w:fill="FFFFFF"/>
          <w:lang w:val="uk-UA" w:eastAsia="en-US"/>
        </w:rPr>
        <w:t xml:space="preserve">  </w:t>
      </w:r>
      <w:r w:rsidRPr="004C6D79">
        <w:rPr>
          <w:rFonts w:eastAsiaTheme="minorHAnsi"/>
          <w:color w:val="000000"/>
          <w:sz w:val="28"/>
          <w:szCs w:val="28"/>
          <w:shd w:val="clear" w:color="auto" w:fill="FFFFFF"/>
          <w:lang w:val="uk-UA" w:eastAsia="en-US"/>
        </w:rPr>
        <w:t xml:space="preserve">бюджетів – 1,4 млрд грн. </w:t>
      </w:r>
    </w:p>
    <w:p w:rsidR="00ED037F" w:rsidRDefault="00ED037F" w:rsidP="00B5733E">
      <w:pPr>
        <w:ind w:firstLine="567"/>
        <w:jc w:val="both"/>
        <w:rPr>
          <w:sz w:val="28"/>
          <w:szCs w:val="28"/>
          <w:lang w:val="uk-UA"/>
        </w:rPr>
      </w:pPr>
      <w:r w:rsidRPr="008A27CF">
        <w:rPr>
          <w:sz w:val="28"/>
          <w:szCs w:val="28"/>
          <w:lang w:val="uk-UA"/>
        </w:rPr>
        <w:lastRenderedPageBreak/>
        <w:t>Виконання власних доходів бюджету Криворізької міської територіальної громади склало 8,5 млрд грн</w:t>
      </w:r>
      <w:r w:rsidR="00F070C3">
        <w:rPr>
          <w:sz w:val="28"/>
          <w:szCs w:val="28"/>
          <w:lang w:val="uk-UA"/>
        </w:rPr>
        <w:t>,</w:t>
      </w:r>
      <w:r w:rsidRPr="008A27CF">
        <w:rPr>
          <w:sz w:val="28"/>
          <w:szCs w:val="28"/>
          <w:lang w:val="uk-UA"/>
        </w:rPr>
        <w:t xml:space="preserve"> або 102,7% до плану. Найбільшу частку цих доходів складають податкові надходження, серед яких ключовим є податок на доходи фізичних осіб. За 2023 рік надходження цього податку с</w:t>
      </w:r>
      <w:r w:rsidR="00D35895">
        <w:rPr>
          <w:sz w:val="28"/>
          <w:szCs w:val="28"/>
          <w:lang w:val="uk-UA"/>
        </w:rPr>
        <w:t>тановлять</w:t>
      </w:r>
      <w:r w:rsidRPr="008A27CF">
        <w:rPr>
          <w:sz w:val="28"/>
          <w:szCs w:val="28"/>
          <w:lang w:val="uk-UA"/>
        </w:rPr>
        <w:t xml:space="preserve"> 4,4 млрд грн або майже 52% власних доходів.</w:t>
      </w:r>
      <w:r w:rsidRPr="00466039">
        <w:rPr>
          <w:sz w:val="28"/>
          <w:szCs w:val="28"/>
          <w:lang w:val="uk-UA"/>
        </w:rPr>
        <w:t xml:space="preserve"> </w:t>
      </w:r>
    </w:p>
    <w:p w:rsidR="00ED037F" w:rsidRDefault="00ED037F" w:rsidP="00B5733E">
      <w:pPr>
        <w:ind w:firstLine="567"/>
        <w:jc w:val="both"/>
        <w:rPr>
          <w:sz w:val="28"/>
          <w:szCs w:val="28"/>
          <w:lang w:val="uk-UA"/>
        </w:rPr>
      </w:pPr>
      <w:r w:rsidRPr="009A231B">
        <w:rPr>
          <w:sz w:val="28"/>
          <w:szCs w:val="28"/>
          <w:lang w:val="uk-UA"/>
        </w:rPr>
        <w:t xml:space="preserve">До числа найбільших джерел також </w:t>
      </w:r>
      <w:r w:rsidR="00D35895">
        <w:rPr>
          <w:sz w:val="28"/>
          <w:szCs w:val="28"/>
          <w:lang w:val="uk-UA"/>
        </w:rPr>
        <w:t>належить</w:t>
      </w:r>
      <w:r w:rsidRPr="009A231B">
        <w:rPr>
          <w:sz w:val="28"/>
          <w:szCs w:val="28"/>
          <w:lang w:val="uk-UA"/>
        </w:rPr>
        <w:t xml:space="preserve"> плата за землю, єдиний та акцизний податки. Їх питома вага складає майже 43% усіх власних доходів.</w:t>
      </w:r>
    </w:p>
    <w:p w:rsidR="008E4217" w:rsidRPr="00651D27" w:rsidRDefault="008E4217" w:rsidP="00ED037F">
      <w:pPr>
        <w:ind w:firstLine="708"/>
        <w:jc w:val="both"/>
        <w:rPr>
          <w:sz w:val="16"/>
          <w:szCs w:val="16"/>
          <w:lang w:val="uk-UA"/>
        </w:rPr>
      </w:pPr>
    </w:p>
    <w:p w:rsidR="00C2049B" w:rsidRDefault="00C55E34" w:rsidP="00424D08">
      <w:pPr>
        <w:ind w:firstLine="426"/>
        <w:jc w:val="both"/>
        <w:rPr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022101E5" wp14:editId="47526736">
            <wp:extent cx="5524500" cy="3971925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97230" w:rsidRPr="003168BF" w:rsidRDefault="00E97230" w:rsidP="00B5733E">
      <w:pPr>
        <w:pStyle w:val="11"/>
        <w:shd w:val="clear" w:color="auto" w:fill="auto"/>
        <w:spacing w:after="0" w:line="240" w:lineRule="auto"/>
        <w:ind w:firstLine="567"/>
        <w:jc w:val="both"/>
        <w:rPr>
          <w:sz w:val="28"/>
          <w:szCs w:val="28"/>
          <w:lang w:val="uk-UA" w:eastAsia="ru-RU"/>
        </w:rPr>
      </w:pPr>
      <w:r w:rsidRPr="003168BF">
        <w:rPr>
          <w:sz w:val="28"/>
          <w:szCs w:val="28"/>
          <w:lang w:val="uk-UA" w:eastAsia="ru-RU"/>
        </w:rPr>
        <w:t xml:space="preserve">У сфері регуляторної діяльності відстежувалася результативність дії раніше </w:t>
      </w:r>
      <w:r w:rsidR="00237934">
        <w:rPr>
          <w:sz w:val="28"/>
          <w:szCs w:val="28"/>
          <w:lang w:val="uk-UA" w:eastAsia="ru-RU"/>
        </w:rPr>
        <w:t>ухвалених</w:t>
      </w:r>
      <w:r w:rsidRPr="003168BF">
        <w:rPr>
          <w:sz w:val="28"/>
          <w:szCs w:val="28"/>
          <w:lang w:val="uk-UA" w:eastAsia="ru-RU"/>
        </w:rPr>
        <w:t xml:space="preserve"> міською радою регуляторних актів за місцевими податками й зборами та ухвалювалися відповідні звіти щодо ставок податк</w:t>
      </w:r>
      <w:r w:rsidR="00F070C3">
        <w:rPr>
          <w:sz w:val="28"/>
          <w:szCs w:val="28"/>
          <w:lang w:val="uk-UA" w:eastAsia="ru-RU"/>
        </w:rPr>
        <w:t>у</w:t>
      </w:r>
      <w:r w:rsidRPr="003168BF">
        <w:rPr>
          <w:sz w:val="28"/>
          <w:szCs w:val="28"/>
          <w:lang w:val="uk-UA" w:eastAsia="ru-RU"/>
        </w:rPr>
        <w:t xml:space="preserve"> на нерухоме майно, єдиного </w:t>
      </w:r>
      <w:r w:rsidR="00F070C3">
        <w:rPr>
          <w:sz w:val="28"/>
          <w:szCs w:val="28"/>
          <w:lang w:val="uk-UA" w:eastAsia="ru-RU"/>
        </w:rPr>
        <w:t xml:space="preserve">податку </w:t>
      </w:r>
      <w:r w:rsidR="00237934">
        <w:rPr>
          <w:sz w:val="28"/>
          <w:szCs w:val="28"/>
          <w:lang w:val="uk-UA" w:eastAsia="ru-RU"/>
        </w:rPr>
        <w:t>й</w:t>
      </w:r>
      <w:r w:rsidRPr="003168BF">
        <w:rPr>
          <w:sz w:val="28"/>
          <w:szCs w:val="28"/>
          <w:lang w:val="uk-UA" w:eastAsia="ru-RU"/>
        </w:rPr>
        <w:t xml:space="preserve"> плати за землю. </w:t>
      </w:r>
    </w:p>
    <w:p w:rsidR="00DF33F8" w:rsidRDefault="00DF33F8" w:rsidP="00B5733E">
      <w:pPr>
        <w:ind w:firstLine="567"/>
        <w:jc w:val="both"/>
        <w:rPr>
          <w:bCs/>
          <w:sz w:val="28"/>
          <w:szCs w:val="28"/>
          <w:lang w:val="uk-UA"/>
        </w:rPr>
      </w:pPr>
      <w:r w:rsidRPr="00B5733E">
        <w:rPr>
          <w:bCs/>
          <w:sz w:val="28"/>
          <w:szCs w:val="28"/>
          <w:lang w:val="uk-UA"/>
        </w:rPr>
        <w:t>Витрати</w:t>
      </w:r>
      <w:r w:rsidRPr="000042A0">
        <w:rPr>
          <w:bCs/>
          <w:sz w:val="28"/>
          <w:szCs w:val="28"/>
        </w:rPr>
        <w:t xml:space="preserve"> бюджету </w:t>
      </w:r>
      <w:r w:rsidR="00A51FC7">
        <w:rPr>
          <w:bCs/>
          <w:sz w:val="28"/>
          <w:szCs w:val="28"/>
          <w:lang w:val="uk-UA"/>
        </w:rPr>
        <w:t xml:space="preserve">Криворізької міської територіальної громади </w:t>
      </w:r>
      <w:r w:rsidRPr="000042A0">
        <w:rPr>
          <w:bCs/>
          <w:sz w:val="28"/>
          <w:szCs w:val="28"/>
        </w:rPr>
        <w:t xml:space="preserve"> за 202</w:t>
      </w:r>
      <w:r w:rsidR="005628B1">
        <w:rPr>
          <w:bCs/>
          <w:sz w:val="28"/>
          <w:szCs w:val="28"/>
          <w:lang w:val="uk-UA"/>
        </w:rPr>
        <w:t>3</w:t>
      </w:r>
      <w:r w:rsidRPr="000042A0">
        <w:rPr>
          <w:bCs/>
          <w:sz w:val="28"/>
          <w:szCs w:val="28"/>
        </w:rPr>
        <w:t xml:space="preserve"> </w:t>
      </w:r>
      <w:proofErr w:type="spellStart"/>
      <w:r w:rsidRPr="000042A0">
        <w:rPr>
          <w:bCs/>
          <w:sz w:val="28"/>
          <w:szCs w:val="28"/>
        </w:rPr>
        <w:t>рік</w:t>
      </w:r>
      <w:proofErr w:type="spellEnd"/>
      <w:r w:rsidR="00346398">
        <w:rPr>
          <w:bCs/>
          <w:sz w:val="28"/>
          <w:szCs w:val="28"/>
          <w:lang w:val="uk-UA"/>
        </w:rPr>
        <w:t xml:space="preserve"> </w:t>
      </w:r>
      <w:r w:rsidRPr="00B5733E">
        <w:rPr>
          <w:bCs/>
          <w:sz w:val="28"/>
          <w:szCs w:val="28"/>
          <w:lang w:val="uk-UA"/>
        </w:rPr>
        <w:t>склали</w:t>
      </w:r>
      <w:r w:rsidRPr="000042A0">
        <w:rPr>
          <w:bCs/>
          <w:sz w:val="28"/>
          <w:szCs w:val="28"/>
        </w:rPr>
        <w:t xml:space="preserve"> </w:t>
      </w:r>
      <w:r w:rsidR="00CF3C09">
        <w:rPr>
          <w:bCs/>
          <w:sz w:val="28"/>
          <w:szCs w:val="28"/>
          <w:lang w:val="uk-UA"/>
        </w:rPr>
        <w:t>10,</w:t>
      </w:r>
      <w:r w:rsidR="00121104">
        <w:rPr>
          <w:bCs/>
          <w:sz w:val="28"/>
          <w:szCs w:val="28"/>
          <w:lang w:val="uk-UA"/>
        </w:rPr>
        <w:t>2</w:t>
      </w:r>
      <w:r w:rsidR="00CF3C09">
        <w:rPr>
          <w:bCs/>
          <w:sz w:val="28"/>
          <w:szCs w:val="28"/>
          <w:lang w:val="uk-UA"/>
        </w:rPr>
        <w:t xml:space="preserve"> </w:t>
      </w:r>
      <w:r w:rsidRPr="00CF3C09">
        <w:rPr>
          <w:bCs/>
          <w:sz w:val="28"/>
          <w:szCs w:val="28"/>
        </w:rPr>
        <w:t>мл</w:t>
      </w:r>
      <w:proofErr w:type="spellStart"/>
      <w:r w:rsidRPr="000042A0">
        <w:rPr>
          <w:bCs/>
          <w:sz w:val="28"/>
          <w:szCs w:val="28"/>
          <w:lang w:val="uk-UA"/>
        </w:rPr>
        <w:t>рд</w:t>
      </w:r>
      <w:proofErr w:type="spellEnd"/>
      <w:r w:rsidRPr="000042A0">
        <w:rPr>
          <w:bCs/>
          <w:sz w:val="28"/>
          <w:szCs w:val="28"/>
          <w:lang w:val="uk-UA"/>
        </w:rPr>
        <w:t xml:space="preserve"> </w:t>
      </w:r>
      <w:r w:rsidRPr="00B5733E">
        <w:rPr>
          <w:bCs/>
          <w:sz w:val="28"/>
          <w:szCs w:val="28"/>
          <w:lang w:val="uk-UA"/>
        </w:rPr>
        <w:t>грн</w:t>
      </w:r>
      <w:r w:rsidRPr="000042A0">
        <w:rPr>
          <w:bCs/>
          <w:sz w:val="28"/>
          <w:szCs w:val="28"/>
          <w:lang w:val="uk-UA"/>
        </w:rPr>
        <w:t>.</w:t>
      </w:r>
    </w:p>
    <w:p w:rsidR="00045249" w:rsidRPr="00045249" w:rsidRDefault="00045249" w:rsidP="007F0384">
      <w:pPr>
        <w:ind w:firstLine="709"/>
        <w:jc w:val="both"/>
        <w:rPr>
          <w:bCs/>
          <w:sz w:val="16"/>
          <w:szCs w:val="16"/>
          <w:lang w:val="uk-UA"/>
        </w:rPr>
      </w:pPr>
    </w:p>
    <w:p w:rsidR="00FE2103" w:rsidRDefault="00AA780B" w:rsidP="00A16723">
      <w:pPr>
        <w:spacing w:before="120" w:after="120"/>
        <w:jc w:val="both"/>
        <w:rPr>
          <w:bCs/>
          <w:sz w:val="28"/>
          <w:szCs w:val="28"/>
          <w:lang w:val="uk-UA"/>
        </w:rPr>
      </w:pPr>
      <w:r>
        <w:rPr>
          <w:noProof/>
        </w:rPr>
        <w:lastRenderedPageBreak/>
        <w:drawing>
          <wp:inline distT="0" distB="0" distL="0" distR="0" wp14:anchorId="6A5CC9C9" wp14:editId="4E34B986">
            <wp:extent cx="6029325" cy="4638675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45249" w:rsidRPr="00045249" w:rsidRDefault="00045249" w:rsidP="00901848">
      <w:pPr>
        <w:ind w:firstLine="709"/>
        <w:jc w:val="both"/>
        <w:rPr>
          <w:sz w:val="16"/>
          <w:szCs w:val="16"/>
          <w:lang w:val="uk-UA"/>
        </w:rPr>
      </w:pPr>
    </w:p>
    <w:p w:rsidR="00EA7427" w:rsidRDefault="00EA7427" w:rsidP="00B5733E">
      <w:pPr>
        <w:ind w:firstLine="567"/>
        <w:jc w:val="both"/>
        <w:rPr>
          <w:sz w:val="28"/>
          <w:szCs w:val="28"/>
          <w:lang w:val="uk-UA"/>
        </w:rPr>
      </w:pPr>
    </w:p>
    <w:p w:rsidR="00BD29FE" w:rsidRDefault="00BD29FE" w:rsidP="00B5733E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Ураховуючи воєнний стан</w:t>
      </w:r>
      <w:r w:rsidR="009C5DC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платежі в органах казначейської служби проходили </w:t>
      </w:r>
      <w:r w:rsidRPr="00315824">
        <w:rPr>
          <w:sz w:val="28"/>
          <w:szCs w:val="28"/>
          <w:lang w:val="uk-UA"/>
        </w:rPr>
        <w:t>обмежен</w:t>
      </w:r>
      <w:r w:rsidR="00A51FC7">
        <w:rPr>
          <w:sz w:val="28"/>
          <w:szCs w:val="28"/>
          <w:lang w:val="uk-UA"/>
        </w:rPr>
        <w:t xml:space="preserve">о </w:t>
      </w:r>
      <w:r>
        <w:rPr>
          <w:sz w:val="28"/>
          <w:szCs w:val="28"/>
          <w:lang w:val="uk-UA"/>
        </w:rPr>
        <w:t>в черговості</w:t>
      </w:r>
      <w:r w:rsidR="009C5DC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визначен</w:t>
      </w:r>
      <w:r w:rsidR="00A51FC7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 xml:space="preserve">  П</w:t>
      </w:r>
      <w:r w:rsidRPr="00315824">
        <w:rPr>
          <w:sz w:val="28"/>
          <w:szCs w:val="28"/>
          <w:lang w:val="uk-UA"/>
        </w:rPr>
        <w:t>останов</w:t>
      </w:r>
      <w:r>
        <w:rPr>
          <w:sz w:val="28"/>
          <w:szCs w:val="28"/>
          <w:lang w:val="uk-UA"/>
        </w:rPr>
        <w:t>ою</w:t>
      </w:r>
      <w:r w:rsidRPr="00315824">
        <w:rPr>
          <w:sz w:val="28"/>
          <w:szCs w:val="28"/>
          <w:lang w:val="uk-UA"/>
        </w:rPr>
        <w:t xml:space="preserve"> Кабінету Міністрів України від 09 червня 2021 року №590 «Про затвердження Порядку виконання повноважень Державною казначейською службою в особливому режимі в умовах воєнного стану»</w:t>
      </w:r>
      <w:r>
        <w:rPr>
          <w:sz w:val="28"/>
          <w:szCs w:val="28"/>
          <w:lang w:val="uk-UA"/>
        </w:rPr>
        <w:t>, зі змінами</w:t>
      </w:r>
      <w:r w:rsidRPr="00315824">
        <w:rPr>
          <w:sz w:val="28"/>
          <w:szCs w:val="28"/>
          <w:lang w:val="uk-UA"/>
        </w:rPr>
        <w:t>.</w:t>
      </w:r>
    </w:p>
    <w:p w:rsidR="007738AD" w:rsidRPr="00407FC1" w:rsidRDefault="00781115" w:rsidP="00B5733E">
      <w:pPr>
        <w:pStyle w:val="af"/>
        <w:tabs>
          <w:tab w:val="left" w:pos="10206"/>
        </w:tabs>
        <w:spacing w:after="0"/>
        <w:ind w:left="0" w:firstLine="567"/>
        <w:jc w:val="both"/>
        <w:rPr>
          <w:sz w:val="28"/>
          <w:szCs w:val="28"/>
          <w:lang w:val="uk-UA"/>
        </w:rPr>
      </w:pPr>
      <w:r w:rsidRPr="00B5733E">
        <w:rPr>
          <w:i/>
          <w:sz w:val="28"/>
          <w:szCs w:val="28"/>
          <w:lang w:val="uk-UA"/>
        </w:rPr>
        <w:t xml:space="preserve">Своєчасно </w:t>
      </w:r>
      <w:r w:rsidR="00A51FC7" w:rsidRPr="00B5733E">
        <w:rPr>
          <w:i/>
          <w:sz w:val="28"/>
          <w:szCs w:val="28"/>
          <w:lang w:val="uk-UA"/>
        </w:rPr>
        <w:t>й</w:t>
      </w:r>
      <w:r w:rsidRPr="00B5733E">
        <w:rPr>
          <w:i/>
          <w:sz w:val="28"/>
          <w:szCs w:val="28"/>
          <w:lang w:val="uk-UA"/>
        </w:rPr>
        <w:t xml:space="preserve"> у повному обсязі забезпечені виплати</w:t>
      </w:r>
      <w:r w:rsidRPr="00407FC1">
        <w:rPr>
          <w:b/>
          <w:sz w:val="28"/>
          <w:szCs w:val="28"/>
          <w:lang w:val="uk-UA"/>
        </w:rPr>
        <w:t xml:space="preserve"> </w:t>
      </w:r>
      <w:r w:rsidRPr="00407FC1">
        <w:rPr>
          <w:sz w:val="28"/>
          <w:szCs w:val="28"/>
          <w:lang w:val="uk-UA"/>
        </w:rPr>
        <w:t>заробітної плати працівникам бюджетн</w:t>
      </w:r>
      <w:r w:rsidR="009C5DC7">
        <w:rPr>
          <w:sz w:val="28"/>
          <w:szCs w:val="28"/>
          <w:lang w:val="uk-UA"/>
        </w:rPr>
        <w:t>их</w:t>
      </w:r>
      <w:r w:rsidRPr="00407FC1">
        <w:rPr>
          <w:sz w:val="28"/>
          <w:szCs w:val="28"/>
          <w:lang w:val="uk-UA"/>
        </w:rPr>
        <w:t xml:space="preserve"> установ та комунальних підприємств, розрахунки за спожиті енергоносії, п</w:t>
      </w:r>
      <w:r w:rsidRPr="00407FC1">
        <w:rPr>
          <w:sz w:val="28"/>
          <w:szCs w:val="28"/>
          <w:lang w:val="uk-UA" w:eastAsia="uk-UA" w:bidi="uk-UA"/>
        </w:rPr>
        <w:t>родовжувал</w:t>
      </w:r>
      <w:r w:rsidR="00A51FC7">
        <w:rPr>
          <w:sz w:val="28"/>
          <w:szCs w:val="28"/>
          <w:lang w:val="uk-UA" w:eastAsia="uk-UA" w:bidi="uk-UA"/>
        </w:rPr>
        <w:t>ася</w:t>
      </w:r>
      <w:r w:rsidRPr="00407FC1">
        <w:rPr>
          <w:sz w:val="28"/>
          <w:szCs w:val="28"/>
          <w:lang w:val="uk-UA" w:eastAsia="uk-UA" w:bidi="uk-UA"/>
        </w:rPr>
        <w:t xml:space="preserve"> реаліз</w:t>
      </w:r>
      <w:r w:rsidR="00A51FC7">
        <w:rPr>
          <w:sz w:val="28"/>
          <w:szCs w:val="28"/>
          <w:lang w:val="uk-UA" w:eastAsia="uk-UA" w:bidi="uk-UA"/>
        </w:rPr>
        <w:t>ація</w:t>
      </w:r>
      <w:r w:rsidRPr="00407FC1">
        <w:rPr>
          <w:sz w:val="28"/>
          <w:szCs w:val="28"/>
          <w:lang w:val="uk-UA" w:eastAsia="uk-UA" w:bidi="uk-UA"/>
        </w:rPr>
        <w:t xml:space="preserve"> заход</w:t>
      </w:r>
      <w:r w:rsidR="00A51FC7">
        <w:rPr>
          <w:sz w:val="28"/>
          <w:szCs w:val="28"/>
          <w:lang w:val="uk-UA" w:eastAsia="uk-UA" w:bidi="uk-UA"/>
        </w:rPr>
        <w:t>ів</w:t>
      </w:r>
      <w:r w:rsidRPr="00407FC1">
        <w:rPr>
          <w:sz w:val="28"/>
          <w:szCs w:val="28"/>
          <w:lang w:val="uk-UA" w:eastAsia="uk-UA" w:bidi="uk-UA"/>
        </w:rPr>
        <w:t xml:space="preserve"> міських </w:t>
      </w:r>
      <w:r w:rsidR="00A4673A">
        <w:rPr>
          <w:sz w:val="28"/>
          <w:szCs w:val="28"/>
          <w:lang w:val="uk-UA" w:eastAsia="uk-UA" w:bidi="uk-UA"/>
        </w:rPr>
        <w:t xml:space="preserve">цільових </w:t>
      </w:r>
      <w:r w:rsidRPr="00407FC1">
        <w:rPr>
          <w:sz w:val="28"/>
          <w:szCs w:val="28"/>
          <w:lang w:val="uk-UA" w:eastAsia="uk-UA" w:bidi="uk-UA"/>
        </w:rPr>
        <w:t xml:space="preserve">програм у сфері соціального захисту </w:t>
      </w:r>
      <w:r w:rsidR="00A51FC7">
        <w:rPr>
          <w:sz w:val="28"/>
          <w:szCs w:val="28"/>
          <w:lang w:val="uk-UA" w:eastAsia="uk-UA" w:bidi="uk-UA"/>
        </w:rPr>
        <w:t>т</w:t>
      </w:r>
      <w:r w:rsidRPr="00407FC1">
        <w:rPr>
          <w:sz w:val="28"/>
          <w:szCs w:val="28"/>
          <w:lang w:val="uk-UA" w:eastAsia="uk-UA" w:bidi="uk-UA"/>
        </w:rPr>
        <w:t>а охорони здоров'я</w:t>
      </w:r>
      <w:r w:rsidR="009C5DC7">
        <w:rPr>
          <w:sz w:val="28"/>
          <w:szCs w:val="28"/>
          <w:lang w:val="uk-UA" w:eastAsia="uk-UA" w:bidi="uk-UA"/>
        </w:rPr>
        <w:t>,</w:t>
      </w:r>
      <w:r w:rsidRPr="00407FC1">
        <w:rPr>
          <w:sz w:val="28"/>
          <w:szCs w:val="28"/>
          <w:lang w:val="uk-UA" w:eastAsia="uk-UA" w:bidi="uk-UA"/>
        </w:rPr>
        <w:t xml:space="preserve"> на виконання яких  </w:t>
      </w:r>
      <w:r w:rsidRPr="00407FC1">
        <w:rPr>
          <w:sz w:val="28"/>
          <w:szCs w:val="28"/>
          <w:lang w:val="uk-UA"/>
        </w:rPr>
        <w:t>м</w:t>
      </w:r>
      <w:r w:rsidR="007738AD" w:rsidRPr="00407FC1">
        <w:rPr>
          <w:sz w:val="28"/>
          <w:szCs w:val="28"/>
          <w:lang w:val="uk-UA"/>
        </w:rPr>
        <w:t>ешканці міста продовжу</w:t>
      </w:r>
      <w:r w:rsidRPr="00407FC1">
        <w:rPr>
          <w:sz w:val="28"/>
          <w:szCs w:val="28"/>
          <w:lang w:val="uk-UA"/>
        </w:rPr>
        <w:t xml:space="preserve">вали </w:t>
      </w:r>
      <w:r w:rsidR="007738AD" w:rsidRPr="00407FC1">
        <w:rPr>
          <w:sz w:val="28"/>
          <w:szCs w:val="28"/>
          <w:lang w:val="uk-UA"/>
        </w:rPr>
        <w:t>отримувати різні види матеріальної допомоги</w:t>
      </w:r>
      <w:r w:rsidRPr="00407FC1">
        <w:rPr>
          <w:sz w:val="28"/>
          <w:szCs w:val="28"/>
          <w:lang w:val="uk-UA"/>
        </w:rPr>
        <w:t>,</w:t>
      </w:r>
      <w:r w:rsidR="007738AD" w:rsidRPr="00407FC1">
        <w:rPr>
          <w:sz w:val="28"/>
          <w:szCs w:val="28"/>
          <w:lang w:val="uk-UA"/>
        </w:rPr>
        <w:t xml:space="preserve"> пільг</w:t>
      </w:r>
      <w:r w:rsidRPr="00407FC1">
        <w:rPr>
          <w:sz w:val="28"/>
          <w:szCs w:val="28"/>
          <w:lang w:val="uk-UA"/>
        </w:rPr>
        <w:t xml:space="preserve"> та компе</w:t>
      </w:r>
      <w:r w:rsidR="00263BC5">
        <w:rPr>
          <w:sz w:val="28"/>
          <w:szCs w:val="28"/>
          <w:lang w:val="uk-UA"/>
        </w:rPr>
        <w:t>н</w:t>
      </w:r>
      <w:r w:rsidRPr="00407FC1">
        <w:rPr>
          <w:sz w:val="28"/>
          <w:szCs w:val="28"/>
          <w:lang w:val="uk-UA"/>
        </w:rPr>
        <w:t>сацій</w:t>
      </w:r>
      <w:r w:rsidR="007738AD" w:rsidRPr="00407FC1">
        <w:rPr>
          <w:sz w:val="28"/>
          <w:szCs w:val="28"/>
          <w:lang w:val="uk-UA"/>
        </w:rPr>
        <w:t xml:space="preserve">, зокрема </w:t>
      </w:r>
      <w:r w:rsidR="00520A4E">
        <w:rPr>
          <w:sz w:val="28"/>
          <w:szCs w:val="28"/>
          <w:lang w:val="uk-UA"/>
        </w:rPr>
        <w:t>в</w:t>
      </w:r>
      <w:r w:rsidR="007738AD" w:rsidRPr="00407FC1">
        <w:rPr>
          <w:sz w:val="28"/>
          <w:szCs w:val="28"/>
          <w:lang w:val="uk-UA"/>
        </w:rPr>
        <w:t xml:space="preserve"> місті ді</w:t>
      </w:r>
      <w:r w:rsidRPr="00407FC1">
        <w:rPr>
          <w:sz w:val="28"/>
          <w:szCs w:val="28"/>
          <w:lang w:val="uk-UA"/>
        </w:rPr>
        <w:t>яв</w:t>
      </w:r>
      <w:r w:rsidR="007738AD" w:rsidRPr="00407FC1">
        <w:rPr>
          <w:sz w:val="28"/>
          <w:szCs w:val="28"/>
          <w:lang w:val="uk-UA"/>
        </w:rPr>
        <w:t xml:space="preserve"> безкоштовний проїзд </w:t>
      </w:r>
      <w:r w:rsidR="00520A4E">
        <w:rPr>
          <w:sz w:val="28"/>
          <w:szCs w:val="28"/>
          <w:lang w:val="uk-UA"/>
        </w:rPr>
        <w:t>у</w:t>
      </w:r>
      <w:r w:rsidR="007738AD" w:rsidRPr="00407FC1">
        <w:rPr>
          <w:sz w:val="28"/>
          <w:szCs w:val="28"/>
          <w:lang w:val="uk-UA"/>
        </w:rPr>
        <w:t xml:space="preserve"> комунальному транспорті для всіх категорій громадян, у тому числі внутрішньо переміщених осіб.</w:t>
      </w:r>
      <w:r w:rsidR="00524F92">
        <w:rPr>
          <w:sz w:val="28"/>
          <w:szCs w:val="28"/>
          <w:lang w:val="uk-UA"/>
        </w:rPr>
        <w:t xml:space="preserve"> За всіма цими напрямами т</w:t>
      </w:r>
      <w:r w:rsidRPr="00407FC1">
        <w:rPr>
          <w:sz w:val="28"/>
          <w:szCs w:val="28"/>
          <w:lang w:val="uk-UA"/>
        </w:rPr>
        <w:t xml:space="preserve">а іншими соціальними видатками з бюджету витрачено </w:t>
      </w:r>
      <w:r w:rsidR="001C4440" w:rsidRPr="00407FC1">
        <w:rPr>
          <w:sz w:val="28"/>
          <w:szCs w:val="28"/>
          <w:lang w:val="uk-UA"/>
        </w:rPr>
        <w:t xml:space="preserve">5,8 </w:t>
      </w:r>
      <w:r w:rsidRPr="00407FC1">
        <w:rPr>
          <w:sz w:val="28"/>
          <w:szCs w:val="28"/>
          <w:lang w:val="uk-UA"/>
        </w:rPr>
        <w:t>млрд</w:t>
      </w:r>
      <w:r w:rsidR="009D4925" w:rsidRPr="00407FC1">
        <w:rPr>
          <w:sz w:val="28"/>
          <w:szCs w:val="28"/>
          <w:lang w:val="uk-UA"/>
        </w:rPr>
        <w:t xml:space="preserve"> </w:t>
      </w:r>
      <w:r w:rsidRPr="00407FC1">
        <w:rPr>
          <w:sz w:val="28"/>
          <w:szCs w:val="28"/>
          <w:lang w:val="uk-UA"/>
        </w:rPr>
        <w:t>грн</w:t>
      </w:r>
      <w:r w:rsidR="009C5DC7">
        <w:rPr>
          <w:sz w:val="28"/>
          <w:szCs w:val="28"/>
          <w:lang w:val="uk-UA"/>
        </w:rPr>
        <w:t>.</w:t>
      </w:r>
    </w:p>
    <w:p w:rsidR="003168BF" w:rsidRPr="00407FC1" w:rsidRDefault="003168BF" w:rsidP="00B5733E">
      <w:pPr>
        <w:pStyle w:val="11"/>
        <w:shd w:val="clear" w:color="auto" w:fill="auto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407FC1">
        <w:rPr>
          <w:sz w:val="28"/>
          <w:szCs w:val="28"/>
          <w:lang w:val="uk-UA"/>
        </w:rPr>
        <w:t xml:space="preserve">Для недопущення заборгованості за спожиті бюджетними установами енергоносії та комунальні послуги проводилася координаційна робота щодо своєчасного отримання </w:t>
      </w:r>
      <w:r w:rsidR="00887096">
        <w:rPr>
          <w:sz w:val="28"/>
          <w:szCs w:val="28"/>
          <w:lang w:val="uk-UA"/>
        </w:rPr>
        <w:t>і</w:t>
      </w:r>
      <w:r w:rsidRPr="00407FC1">
        <w:rPr>
          <w:sz w:val="28"/>
          <w:szCs w:val="28"/>
          <w:lang w:val="uk-UA"/>
        </w:rPr>
        <w:t xml:space="preserve"> проведення оплати рахунків.</w:t>
      </w:r>
    </w:p>
    <w:p w:rsidR="000C7E53" w:rsidRPr="00407FC1" w:rsidRDefault="000C7E53" w:rsidP="00B5733E">
      <w:pPr>
        <w:pStyle w:val="af"/>
        <w:tabs>
          <w:tab w:val="left" w:pos="10206"/>
        </w:tabs>
        <w:spacing w:after="0"/>
        <w:ind w:left="0" w:firstLine="567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Також ф</w:t>
      </w:r>
      <w:r w:rsidRPr="007738AD">
        <w:rPr>
          <w:color w:val="000000"/>
          <w:sz w:val="28"/>
          <w:szCs w:val="28"/>
          <w:lang w:val="uk-UA"/>
        </w:rPr>
        <w:t xml:space="preserve">інансові ресурси були сконцентровані на </w:t>
      </w:r>
      <w:r w:rsidRPr="007738AD">
        <w:rPr>
          <w:sz w:val="28"/>
          <w:szCs w:val="28"/>
          <w:lang w:val="uk-UA"/>
        </w:rPr>
        <w:t xml:space="preserve">необхідних першочергових напрямах, </w:t>
      </w:r>
      <w:r w:rsidRPr="00C92B23">
        <w:rPr>
          <w:sz w:val="28"/>
          <w:szCs w:val="28"/>
          <w:lang w:val="uk-UA"/>
        </w:rPr>
        <w:t>спрямованих на підтримку с</w:t>
      </w:r>
      <w:r w:rsidR="00887096">
        <w:rPr>
          <w:sz w:val="28"/>
          <w:szCs w:val="28"/>
          <w:lang w:val="uk-UA"/>
        </w:rPr>
        <w:t>ил оборони та безпеки, ремонт і</w:t>
      </w:r>
      <w:r w:rsidRPr="00C92B23">
        <w:rPr>
          <w:sz w:val="28"/>
          <w:szCs w:val="28"/>
          <w:lang w:val="uk-UA"/>
        </w:rPr>
        <w:t xml:space="preserve"> облаштування </w:t>
      </w:r>
      <w:proofErr w:type="spellStart"/>
      <w:r w:rsidRPr="00C92B23">
        <w:rPr>
          <w:sz w:val="28"/>
          <w:szCs w:val="28"/>
          <w:lang w:val="uk-UA"/>
        </w:rPr>
        <w:t>укриттів</w:t>
      </w:r>
      <w:proofErr w:type="spellEnd"/>
      <w:r w:rsidRPr="00C92B23">
        <w:rPr>
          <w:sz w:val="28"/>
          <w:szCs w:val="28"/>
          <w:lang w:val="uk-UA"/>
        </w:rPr>
        <w:t xml:space="preserve">, </w:t>
      </w:r>
      <w:r w:rsidR="00887096">
        <w:rPr>
          <w:sz w:val="28"/>
          <w:szCs w:val="28"/>
          <w:lang w:val="uk-UA"/>
        </w:rPr>
        <w:t>«П</w:t>
      </w:r>
      <w:r w:rsidRPr="00C92B23">
        <w:rPr>
          <w:sz w:val="28"/>
          <w:szCs w:val="28"/>
          <w:lang w:val="uk-UA"/>
        </w:rPr>
        <w:t>унктів незламності</w:t>
      </w:r>
      <w:r w:rsidR="00887096">
        <w:rPr>
          <w:sz w:val="28"/>
          <w:szCs w:val="28"/>
          <w:lang w:val="uk-UA"/>
        </w:rPr>
        <w:t>»</w:t>
      </w:r>
      <w:r w:rsidRPr="00C92B23">
        <w:rPr>
          <w:sz w:val="28"/>
          <w:szCs w:val="28"/>
          <w:lang w:val="uk-UA"/>
        </w:rPr>
        <w:t xml:space="preserve">, ліквідацію наслідків </w:t>
      </w:r>
      <w:r w:rsidRPr="00C92B23">
        <w:rPr>
          <w:sz w:val="28"/>
          <w:szCs w:val="28"/>
          <w:lang w:val="uk-UA"/>
        </w:rPr>
        <w:lastRenderedPageBreak/>
        <w:t xml:space="preserve">ракетних обстрілів, допомогу сім'ям загиблих і постраждалих внаслідок збройної агресії, соціальний захист цивільного населення, у тому числі внутрішньо переміщених </w:t>
      </w:r>
      <w:r w:rsidRPr="00407FC1">
        <w:rPr>
          <w:sz w:val="28"/>
          <w:szCs w:val="28"/>
          <w:lang w:val="uk-UA"/>
        </w:rPr>
        <w:t xml:space="preserve">осіб, підтримку підприємств критичної інфраструктури тощо. </w:t>
      </w:r>
      <w:r w:rsidRPr="00B5733E">
        <w:rPr>
          <w:i/>
          <w:sz w:val="28"/>
          <w:szCs w:val="28"/>
          <w:lang w:val="uk-UA"/>
        </w:rPr>
        <w:t xml:space="preserve">За цими напрямами з бюджету </w:t>
      </w:r>
      <w:r w:rsidR="00887096" w:rsidRPr="00B5733E">
        <w:rPr>
          <w:i/>
          <w:sz w:val="28"/>
          <w:szCs w:val="28"/>
          <w:lang w:val="uk-UA"/>
        </w:rPr>
        <w:t>витрачено понад 1,8 млрд</w:t>
      </w:r>
      <w:r w:rsidRPr="00B5733E">
        <w:rPr>
          <w:i/>
          <w:sz w:val="28"/>
          <w:szCs w:val="28"/>
          <w:lang w:val="uk-UA"/>
        </w:rPr>
        <w:t xml:space="preserve"> грн.</w:t>
      </w:r>
    </w:p>
    <w:p w:rsidR="00D43A63" w:rsidRPr="00E1569F" w:rsidRDefault="00BD29FE" w:rsidP="00B5733E">
      <w:pPr>
        <w:pStyle w:val="a5"/>
        <w:shd w:val="clear" w:color="auto" w:fill="FFFFFF"/>
        <w:ind w:left="0" w:firstLine="567"/>
        <w:jc w:val="both"/>
        <w:rPr>
          <w:lang w:val="uk-UA"/>
        </w:rPr>
      </w:pPr>
      <w:r w:rsidRPr="00407FC1">
        <w:rPr>
          <w:lang w:val="uk-UA"/>
        </w:rPr>
        <w:t>Д</w:t>
      </w:r>
      <w:r w:rsidR="00D43A63" w:rsidRPr="00407FC1">
        <w:rPr>
          <w:lang w:val="uk-UA"/>
        </w:rPr>
        <w:t xml:space="preserve">епартаментом фінансів </w:t>
      </w:r>
      <w:r w:rsidR="00832595">
        <w:rPr>
          <w:lang w:val="uk-UA"/>
        </w:rPr>
        <w:t xml:space="preserve">виконкому Криворізької міської ради </w:t>
      </w:r>
      <w:r w:rsidR="00D43A63" w:rsidRPr="00407FC1">
        <w:rPr>
          <w:lang w:val="uk-UA"/>
        </w:rPr>
        <w:t>постійно опрацьовувалися зміни в законодавстві, що стосувалися повноважень органів місцевого самоврядування з питань бюджету та інших питань бюджетних відносин</w:t>
      </w:r>
      <w:r w:rsidRPr="00407FC1">
        <w:rPr>
          <w:lang w:val="uk-UA"/>
        </w:rPr>
        <w:t xml:space="preserve"> в умо</w:t>
      </w:r>
      <w:r>
        <w:rPr>
          <w:lang w:val="uk-UA"/>
        </w:rPr>
        <w:t>вах воєнного стану</w:t>
      </w:r>
      <w:r w:rsidR="00D43A63" w:rsidRPr="00E1569F">
        <w:rPr>
          <w:lang w:val="uk-UA"/>
        </w:rPr>
        <w:t xml:space="preserve">.  </w:t>
      </w:r>
    </w:p>
    <w:p w:rsidR="00AE01A1" w:rsidRPr="00683ADB" w:rsidRDefault="00681A2B" w:rsidP="00B5733E">
      <w:pPr>
        <w:pStyle w:val="a5"/>
        <w:shd w:val="clear" w:color="auto" w:fill="FFFFFF"/>
        <w:ind w:left="0" w:firstLine="567"/>
        <w:jc w:val="both"/>
        <w:rPr>
          <w:lang w:val="uk-UA"/>
        </w:rPr>
      </w:pPr>
      <w:r w:rsidRPr="00683ADB">
        <w:rPr>
          <w:lang w:val="uk-UA"/>
        </w:rPr>
        <w:t>Загалом д</w:t>
      </w:r>
      <w:r w:rsidR="004250AC" w:rsidRPr="00683ADB">
        <w:rPr>
          <w:lang w:val="uk-UA"/>
        </w:rPr>
        <w:t xml:space="preserve">ля забезпечення бюджетного процесу </w:t>
      </w:r>
      <w:r w:rsidR="00E14FCB">
        <w:rPr>
          <w:lang w:val="uk-UA"/>
        </w:rPr>
        <w:t>й</w:t>
      </w:r>
      <w:r w:rsidRPr="00683ADB">
        <w:rPr>
          <w:lang w:val="uk-UA"/>
        </w:rPr>
        <w:t xml:space="preserve"> виконання </w:t>
      </w:r>
      <w:proofErr w:type="spellStart"/>
      <w:r w:rsidRPr="00683ADB">
        <w:rPr>
          <w:lang w:val="uk-UA"/>
        </w:rPr>
        <w:t>вищеперелічених</w:t>
      </w:r>
      <w:proofErr w:type="spellEnd"/>
      <w:r w:rsidR="00E14FCB">
        <w:rPr>
          <w:lang w:val="uk-UA"/>
        </w:rPr>
        <w:t xml:space="preserve"> </w:t>
      </w:r>
      <w:r w:rsidRPr="00683ADB">
        <w:rPr>
          <w:lang w:val="uk-UA"/>
        </w:rPr>
        <w:t xml:space="preserve">завдань </w:t>
      </w:r>
      <w:r w:rsidR="004250AC" w:rsidRPr="00683ADB">
        <w:rPr>
          <w:lang w:val="uk-UA"/>
        </w:rPr>
        <w:t>депар</w:t>
      </w:r>
      <w:r w:rsidR="00683ADB" w:rsidRPr="00683ADB">
        <w:rPr>
          <w:lang w:val="uk-UA"/>
        </w:rPr>
        <w:t xml:space="preserve">таментом фінансів </w:t>
      </w:r>
      <w:r w:rsidR="00DC5869">
        <w:rPr>
          <w:lang w:val="uk-UA"/>
        </w:rPr>
        <w:t xml:space="preserve">виконкому Криворізької міської ради </w:t>
      </w:r>
      <w:r w:rsidR="00683ADB" w:rsidRPr="00683ADB">
        <w:rPr>
          <w:lang w:val="uk-UA"/>
        </w:rPr>
        <w:t>підготовлено 37</w:t>
      </w:r>
      <w:r w:rsidR="004250AC" w:rsidRPr="00683ADB">
        <w:rPr>
          <w:lang w:val="uk-UA"/>
        </w:rPr>
        <w:t xml:space="preserve"> </w:t>
      </w:r>
      <w:proofErr w:type="spellStart"/>
      <w:r w:rsidR="004250AC" w:rsidRPr="00683ADB">
        <w:rPr>
          <w:lang w:val="uk-UA"/>
        </w:rPr>
        <w:t>проєктів</w:t>
      </w:r>
      <w:proofErr w:type="spellEnd"/>
      <w:r w:rsidR="004250AC" w:rsidRPr="00683ADB">
        <w:rPr>
          <w:lang w:val="uk-UA"/>
        </w:rPr>
        <w:t xml:space="preserve"> рішень міської ради та її виконкому з питань </w:t>
      </w:r>
      <w:r w:rsidR="00E14FCB">
        <w:rPr>
          <w:lang w:val="uk-UA"/>
        </w:rPr>
        <w:t>у</w:t>
      </w:r>
      <w:r w:rsidR="004250AC" w:rsidRPr="00683ADB">
        <w:rPr>
          <w:lang w:val="uk-UA"/>
        </w:rPr>
        <w:t xml:space="preserve">несення </w:t>
      </w:r>
      <w:r w:rsidR="00D43A63" w:rsidRPr="00683ADB">
        <w:rPr>
          <w:lang w:val="uk-UA"/>
        </w:rPr>
        <w:t>змін до показників бюджету</w:t>
      </w:r>
      <w:r w:rsidR="00E1569F" w:rsidRPr="00683ADB">
        <w:rPr>
          <w:lang w:val="uk-UA"/>
        </w:rPr>
        <w:t xml:space="preserve"> Криворізької міської територіальної громади. </w:t>
      </w:r>
      <w:r w:rsidR="00AF1996" w:rsidRPr="00683ADB">
        <w:rPr>
          <w:shd w:val="clear" w:color="auto" w:fill="FFFFFF"/>
          <w:lang w:val="uk-UA"/>
        </w:rPr>
        <w:t xml:space="preserve">Дотримувалися вимоги законодавства щодо звітності про виконання показників бюджету. З цих питань підготовлено 5 </w:t>
      </w:r>
      <w:proofErr w:type="spellStart"/>
      <w:r w:rsidR="00AF1996" w:rsidRPr="00683ADB">
        <w:rPr>
          <w:shd w:val="clear" w:color="auto" w:fill="FFFFFF"/>
          <w:lang w:val="uk-UA"/>
        </w:rPr>
        <w:t>про</w:t>
      </w:r>
      <w:r w:rsidR="00E14FCB">
        <w:rPr>
          <w:shd w:val="clear" w:color="auto" w:fill="FFFFFF"/>
          <w:lang w:val="uk-UA"/>
        </w:rPr>
        <w:t>є</w:t>
      </w:r>
      <w:r w:rsidR="00AF1996" w:rsidRPr="00683ADB">
        <w:rPr>
          <w:shd w:val="clear" w:color="auto" w:fill="FFFFFF"/>
          <w:lang w:val="uk-UA"/>
        </w:rPr>
        <w:t>ктів</w:t>
      </w:r>
      <w:proofErr w:type="spellEnd"/>
      <w:r w:rsidR="00AF1996" w:rsidRPr="00683ADB">
        <w:rPr>
          <w:shd w:val="clear" w:color="auto" w:fill="FFFFFF"/>
          <w:lang w:val="uk-UA"/>
        </w:rPr>
        <w:t xml:space="preserve"> рішень</w:t>
      </w:r>
      <w:r w:rsidR="00AE01A1" w:rsidRPr="00683ADB">
        <w:rPr>
          <w:lang w:val="uk-UA"/>
        </w:rPr>
        <w:t xml:space="preserve"> міської ради та її виконкому. </w:t>
      </w:r>
    </w:p>
    <w:p w:rsidR="00915F40" w:rsidRPr="00FC0D76" w:rsidRDefault="00915F40" w:rsidP="00B5733E">
      <w:pPr>
        <w:pStyle w:val="a9"/>
        <w:autoSpaceDE w:val="0"/>
        <w:autoSpaceDN w:val="0"/>
        <w:spacing w:before="0"/>
        <w:ind w:left="0" w:firstLine="567"/>
        <w:rPr>
          <w:sz w:val="28"/>
          <w:szCs w:val="28"/>
          <w:lang w:eastAsia="uk-UA" w:bidi="uk-UA"/>
        </w:rPr>
      </w:pPr>
      <w:r w:rsidRPr="00FC0D76">
        <w:rPr>
          <w:sz w:val="28"/>
          <w:szCs w:val="28"/>
          <w:lang w:eastAsia="uk-UA" w:bidi="uk-UA"/>
        </w:rPr>
        <w:t xml:space="preserve">Військова агресія Російської Федерації в Україні вплинула на можливість повної реалізації інвестиційних </w:t>
      </w:r>
      <w:proofErr w:type="spellStart"/>
      <w:r w:rsidRPr="00FC0D76">
        <w:rPr>
          <w:sz w:val="28"/>
          <w:szCs w:val="28"/>
          <w:lang w:eastAsia="uk-UA" w:bidi="uk-UA"/>
        </w:rPr>
        <w:t>проєктів</w:t>
      </w:r>
      <w:proofErr w:type="spellEnd"/>
      <w:r w:rsidRPr="00FC0D76">
        <w:rPr>
          <w:sz w:val="28"/>
          <w:szCs w:val="28"/>
          <w:lang w:eastAsia="uk-UA" w:bidi="uk-UA"/>
        </w:rPr>
        <w:t xml:space="preserve"> за рахунок кредитних ресурсів міжнародних фінансових організацій. </w:t>
      </w:r>
    </w:p>
    <w:p w:rsidR="00915F40" w:rsidRPr="00FC0D76" w:rsidRDefault="00915F40" w:rsidP="00B5733E">
      <w:pPr>
        <w:pStyle w:val="a9"/>
        <w:autoSpaceDE w:val="0"/>
        <w:autoSpaceDN w:val="0"/>
        <w:spacing w:before="0"/>
        <w:ind w:left="0" w:firstLine="567"/>
        <w:rPr>
          <w:sz w:val="28"/>
          <w:szCs w:val="28"/>
          <w:lang w:eastAsia="uk-UA" w:bidi="uk-UA"/>
        </w:rPr>
      </w:pPr>
      <w:r w:rsidRPr="00FC0D76">
        <w:rPr>
          <w:sz w:val="28"/>
          <w:szCs w:val="28"/>
          <w:lang w:eastAsia="uk-UA" w:bidi="uk-UA"/>
        </w:rPr>
        <w:t>З метою економії коштів координувалас</w:t>
      </w:r>
      <w:r w:rsidR="00E14FCB">
        <w:rPr>
          <w:sz w:val="28"/>
          <w:szCs w:val="28"/>
          <w:lang w:eastAsia="uk-UA" w:bidi="uk-UA"/>
        </w:rPr>
        <w:t>я</w:t>
      </w:r>
      <w:r w:rsidRPr="00FC0D76">
        <w:rPr>
          <w:sz w:val="28"/>
          <w:szCs w:val="28"/>
          <w:lang w:eastAsia="uk-UA" w:bidi="uk-UA"/>
        </w:rPr>
        <w:t xml:space="preserve"> робота з укладання додаткових угод підприємствами-позичальниками з міжнародними фінансовими </w:t>
      </w:r>
      <w:proofErr w:type="spellStart"/>
      <w:r w:rsidRPr="00FC0D76">
        <w:rPr>
          <w:sz w:val="28"/>
          <w:szCs w:val="28"/>
          <w:lang w:eastAsia="uk-UA" w:bidi="uk-UA"/>
        </w:rPr>
        <w:t>організа</w:t>
      </w:r>
      <w:r w:rsidR="00EA7427">
        <w:rPr>
          <w:sz w:val="28"/>
          <w:szCs w:val="28"/>
          <w:lang w:eastAsia="uk-UA" w:bidi="uk-UA"/>
        </w:rPr>
        <w:t>-</w:t>
      </w:r>
      <w:r w:rsidRPr="00FC0D76">
        <w:rPr>
          <w:sz w:val="28"/>
          <w:szCs w:val="28"/>
          <w:lang w:eastAsia="uk-UA" w:bidi="uk-UA"/>
        </w:rPr>
        <w:t>ціями</w:t>
      </w:r>
      <w:proofErr w:type="spellEnd"/>
      <w:r w:rsidRPr="00FC0D76">
        <w:rPr>
          <w:sz w:val="28"/>
          <w:szCs w:val="28"/>
          <w:lang w:eastAsia="uk-UA" w:bidi="uk-UA"/>
        </w:rPr>
        <w:t xml:space="preserve"> про </w:t>
      </w:r>
      <w:proofErr w:type="spellStart"/>
      <w:r w:rsidRPr="00FC0D76">
        <w:rPr>
          <w:sz w:val="28"/>
          <w:szCs w:val="28"/>
          <w:lang w:eastAsia="uk-UA" w:bidi="uk-UA"/>
        </w:rPr>
        <w:t>ненарахування</w:t>
      </w:r>
      <w:proofErr w:type="spellEnd"/>
      <w:r w:rsidRPr="00FC0D76">
        <w:rPr>
          <w:sz w:val="28"/>
          <w:szCs w:val="28"/>
          <w:lang w:eastAsia="uk-UA" w:bidi="uk-UA"/>
        </w:rPr>
        <w:t xml:space="preserve"> комісії за резервування невибраної суми</w:t>
      </w:r>
      <w:r w:rsidR="00E14FCB">
        <w:rPr>
          <w:sz w:val="28"/>
          <w:szCs w:val="28"/>
          <w:lang w:eastAsia="uk-UA" w:bidi="uk-UA"/>
        </w:rPr>
        <w:t xml:space="preserve"> кредиту. У</w:t>
      </w:r>
      <w:r w:rsidRPr="00FC0D76">
        <w:rPr>
          <w:sz w:val="28"/>
          <w:szCs w:val="28"/>
          <w:lang w:eastAsia="uk-UA" w:bidi="uk-UA"/>
        </w:rPr>
        <w:t xml:space="preserve">наслідок </w:t>
      </w:r>
      <w:r w:rsidR="00E14FCB">
        <w:rPr>
          <w:sz w:val="28"/>
          <w:szCs w:val="28"/>
          <w:lang w:eastAsia="uk-UA" w:bidi="uk-UA"/>
        </w:rPr>
        <w:t>зазначеного</w:t>
      </w:r>
      <w:r w:rsidRPr="00FC0D76">
        <w:rPr>
          <w:sz w:val="28"/>
          <w:szCs w:val="28"/>
          <w:lang w:eastAsia="uk-UA" w:bidi="uk-UA"/>
        </w:rPr>
        <w:t xml:space="preserve"> комунальні підприємства бул</w:t>
      </w:r>
      <w:r w:rsidR="003E2DC0">
        <w:rPr>
          <w:sz w:val="28"/>
          <w:szCs w:val="28"/>
          <w:lang w:eastAsia="uk-UA" w:bidi="uk-UA"/>
        </w:rPr>
        <w:t>и</w:t>
      </w:r>
      <w:r w:rsidRPr="00FC0D76">
        <w:rPr>
          <w:sz w:val="28"/>
          <w:szCs w:val="28"/>
          <w:lang w:eastAsia="uk-UA" w:bidi="uk-UA"/>
        </w:rPr>
        <w:t xml:space="preserve"> звільнен</w:t>
      </w:r>
      <w:r w:rsidR="003E2DC0">
        <w:rPr>
          <w:sz w:val="28"/>
          <w:szCs w:val="28"/>
          <w:lang w:eastAsia="uk-UA" w:bidi="uk-UA"/>
        </w:rPr>
        <w:t>і</w:t>
      </w:r>
      <w:r w:rsidRPr="00FC0D76">
        <w:rPr>
          <w:sz w:val="28"/>
          <w:szCs w:val="28"/>
          <w:lang w:eastAsia="uk-UA" w:bidi="uk-UA"/>
        </w:rPr>
        <w:t xml:space="preserve"> від сплати передбачених комісій на 2023 рік, що дозволило заощадити 7,5 млн грн.</w:t>
      </w:r>
    </w:p>
    <w:p w:rsidR="002A1383" w:rsidRPr="00CA5504" w:rsidRDefault="00E10AD8" w:rsidP="00B5733E">
      <w:pPr>
        <w:pStyle w:val="a9"/>
        <w:autoSpaceDE w:val="0"/>
        <w:autoSpaceDN w:val="0"/>
        <w:spacing w:before="0"/>
        <w:ind w:left="0" w:firstLine="567"/>
        <w:rPr>
          <w:sz w:val="28"/>
          <w:szCs w:val="28"/>
        </w:rPr>
      </w:pPr>
      <w:r w:rsidRPr="00CA5504">
        <w:rPr>
          <w:sz w:val="28"/>
          <w:szCs w:val="28"/>
        </w:rPr>
        <w:t>Важливим етапом роботи департаменту</w:t>
      </w:r>
      <w:r w:rsidR="00E14FCB">
        <w:rPr>
          <w:sz w:val="28"/>
          <w:szCs w:val="28"/>
        </w:rPr>
        <w:t xml:space="preserve"> фінансів</w:t>
      </w:r>
      <w:r w:rsidRPr="00CA5504">
        <w:rPr>
          <w:sz w:val="28"/>
          <w:szCs w:val="28"/>
        </w:rPr>
        <w:t xml:space="preserve"> </w:t>
      </w:r>
      <w:r w:rsidR="00DC5869" w:rsidRPr="00DC5869">
        <w:rPr>
          <w:sz w:val="28"/>
          <w:szCs w:val="28"/>
        </w:rPr>
        <w:t xml:space="preserve">виконкому Криворізької міської ради </w:t>
      </w:r>
      <w:r w:rsidR="00106698" w:rsidRPr="00CA5504">
        <w:rPr>
          <w:sz w:val="28"/>
          <w:szCs w:val="28"/>
        </w:rPr>
        <w:t xml:space="preserve">є формування </w:t>
      </w:r>
      <w:proofErr w:type="spellStart"/>
      <w:r w:rsidR="00106698" w:rsidRPr="00CA5504">
        <w:rPr>
          <w:sz w:val="28"/>
          <w:szCs w:val="28"/>
        </w:rPr>
        <w:t>про</w:t>
      </w:r>
      <w:r w:rsidR="00E14FCB">
        <w:rPr>
          <w:sz w:val="28"/>
          <w:szCs w:val="28"/>
        </w:rPr>
        <w:t>є</w:t>
      </w:r>
      <w:r w:rsidR="00106698" w:rsidRPr="00CA5504">
        <w:rPr>
          <w:sz w:val="28"/>
          <w:szCs w:val="28"/>
        </w:rPr>
        <w:t>кту</w:t>
      </w:r>
      <w:proofErr w:type="spellEnd"/>
      <w:r w:rsidR="00106698" w:rsidRPr="00CA5504">
        <w:rPr>
          <w:sz w:val="28"/>
          <w:szCs w:val="28"/>
        </w:rPr>
        <w:t xml:space="preserve"> бюджету на наступний бюджетний рік. Ця стадія бюджетного процесу відбувалася своєчасно, у терміни </w:t>
      </w:r>
      <w:r w:rsidR="00E14FCB">
        <w:rPr>
          <w:sz w:val="28"/>
          <w:szCs w:val="28"/>
        </w:rPr>
        <w:t>й</w:t>
      </w:r>
      <w:r w:rsidR="00106698" w:rsidRPr="00CA5504">
        <w:rPr>
          <w:sz w:val="28"/>
          <w:szCs w:val="28"/>
        </w:rPr>
        <w:t xml:space="preserve"> за процедурами, визначеними бюджетним законодавством України. </w:t>
      </w:r>
      <w:r w:rsidR="002A1383">
        <w:rPr>
          <w:sz w:val="28"/>
          <w:szCs w:val="28"/>
        </w:rPr>
        <w:t>Прийняті наприкінці 2023 ро</w:t>
      </w:r>
      <w:r w:rsidR="00EA7427">
        <w:rPr>
          <w:sz w:val="28"/>
          <w:szCs w:val="28"/>
        </w:rPr>
        <w:t>-</w:t>
      </w:r>
      <w:r w:rsidR="002A1383">
        <w:rPr>
          <w:sz w:val="28"/>
          <w:szCs w:val="28"/>
        </w:rPr>
        <w:t xml:space="preserve">ку зміни </w:t>
      </w:r>
      <w:r w:rsidR="00E14FCB">
        <w:rPr>
          <w:sz w:val="28"/>
          <w:szCs w:val="28"/>
        </w:rPr>
        <w:t xml:space="preserve">в законодавстві </w:t>
      </w:r>
      <w:r w:rsidR="002A1383">
        <w:rPr>
          <w:sz w:val="28"/>
          <w:szCs w:val="28"/>
        </w:rPr>
        <w:t>обмежили фінансові ресурси місцевих бюджеті</w:t>
      </w:r>
      <w:r w:rsidR="00694016">
        <w:rPr>
          <w:sz w:val="28"/>
          <w:szCs w:val="28"/>
        </w:rPr>
        <w:t>в</w:t>
      </w:r>
      <w:r w:rsidR="002A1383">
        <w:rPr>
          <w:sz w:val="28"/>
          <w:szCs w:val="28"/>
        </w:rPr>
        <w:t xml:space="preserve">. Це стосується вилучення податку з доходів військовослужбовців, поліцейських та осіб рядового </w:t>
      </w:r>
      <w:r w:rsidR="00E14FCB">
        <w:rPr>
          <w:sz w:val="28"/>
          <w:szCs w:val="28"/>
        </w:rPr>
        <w:t>й</w:t>
      </w:r>
      <w:r w:rsidR="002A1383">
        <w:rPr>
          <w:sz w:val="28"/>
          <w:szCs w:val="28"/>
        </w:rPr>
        <w:t xml:space="preserve"> начальницького складу. Річний показник втрат для нашого міста складає майже 1,6 млрд грн.</w:t>
      </w:r>
    </w:p>
    <w:p w:rsidR="00780834" w:rsidRPr="00CA5504" w:rsidRDefault="00685DF8" w:rsidP="00B5733E">
      <w:pPr>
        <w:pStyle w:val="a9"/>
        <w:autoSpaceDE w:val="0"/>
        <w:autoSpaceDN w:val="0"/>
        <w:spacing w:before="0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Однак, незважаючи на такі зміни, </w:t>
      </w:r>
      <w:r w:rsidR="00FB3DAE">
        <w:rPr>
          <w:sz w:val="28"/>
          <w:szCs w:val="28"/>
        </w:rPr>
        <w:t>у</w:t>
      </w:r>
      <w:r w:rsidR="00780834">
        <w:rPr>
          <w:sz w:val="28"/>
          <w:szCs w:val="28"/>
        </w:rPr>
        <w:t xml:space="preserve"> показниках бюджету </w:t>
      </w:r>
      <w:r w:rsidR="00FE47A6">
        <w:rPr>
          <w:sz w:val="28"/>
          <w:szCs w:val="28"/>
        </w:rPr>
        <w:t xml:space="preserve">на 2024 рік </w:t>
      </w:r>
      <w:r w:rsidR="00FB3DAE">
        <w:rPr>
          <w:sz w:val="28"/>
          <w:szCs w:val="28"/>
        </w:rPr>
        <w:t>збережені й</w:t>
      </w:r>
      <w:r w:rsidR="00780834">
        <w:rPr>
          <w:sz w:val="28"/>
          <w:szCs w:val="28"/>
        </w:rPr>
        <w:t xml:space="preserve"> підвищені відповідно до державних стандартів всі соціальні видатки, </w:t>
      </w:r>
      <w:r w:rsidR="00FB3DAE">
        <w:rPr>
          <w:sz w:val="28"/>
          <w:szCs w:val="28"/>
        </w:rPr>
        <w:t>що</w:t>
      </w:r>
      <w:r w:rsidR="00B21909">
        <w:rPr>
          <w:sz w:val="28"/>
          <w:szCs w:val="28"/>
        </w:rPr>
        <w:t xml:space="preserve"> склада</w:t>
      </w:r>
      <w:r w:rsidR="00D52D02">
        <w:rPr>
          <w:sz w:val="28"/>
          <w:szCs w:val="28"/>
        </w:rPr>
        <w:t>ють</w:t>
      </w:r>
      <w:r w:rsidR="00B21909">
        <w:rPr>
          <w:sz w:val="28"/>
          <w:szCs w:val="28"/>
        </w:rPr>
        <w:t xml:space="preserve"> 5,9 млрд грн. Збережені всі </w:t>
      </w:r>
      <w:r w:rsidR="00780834">
        <w:rPr>
          <w:sz w:val="28"/>
          <w:szCs w:val="28"/>
        </w:rPr>
        <w:t xml:space="preserve">види та розміри підтримки соціально незахищених верств населення, </w:t>
      </w:r>
      <w:proofErr w:type="spellStart"/>
      <w:r w:rsidR="00780834">
        <w:rPr>
          <w:sz w:val="28"/>
          <w:szCs w:val="28"/>
        </w:rPr>
        <w:t>віськовослужбовців</w:t>
      </w:r>
      <w:proofErr w:type="spellEnd"/>
      <w:r w:rsidR="00780834">
        <w:rPr>
          <w:sz w:val="28"/>
          <w:szCs w:val="28"/>
        </w:rPr>
        <w:t xml:space="preserve"> </w:t>
      </w:r>
      <w:r w:rsidR="00FB3DAE">
        <w:rPr>
          <w:sz w:val="28"/>
          <w:szCs w:val="28"/>
        </w:rPr>
        <w:t>і сімей загиблих захисників та  з</w:t>
      </w:r>
      <w:r w:rsidR="00780834">
        <w:rPr>
          <w:sz w:val="28"/>
          <w:szCs w:val="28"/>
        </w:rPr>
        <w:t>ахисниць України та ветеранів війни.</w:t>
      </w:r>
      <w:r w:rsidR="00067F64">
        <w:rPr>
          <w:sz w:val="28"/>
          <w:szCs w:val="28"/>
        </w:rPr>
        <w:t xml:space="preserve"> Передбачені  кошти на створення умов для проживання внутрішньо переміщених осіб, облаштування </w:t>
      </w:r>
      <w:r w:rsidR="00FB3DAE">
        <w:rPr>
          <w:sz w:val="28"/>
          <w:szCs w:val="28"/>
        </w:rPr>
        <w:t>«П</w:t>
      </w:r>
      <w:r w:rsidR="00067F64">
        <w:rPr>
          <w:sz w:val="28"/>
          <w:szCs w:val="28"/>
        </w:rPr>
        <w:t>унктів незламності</w:t>
      </w:r>
      <w:r w:rsidR="00FB3DAE">
        <w:rPr>
          <w:sz w:val="28"/>
          <w:szCs w:val="28"/>
        </w:rPr>
        <w:t>»</w:t>
      </w:r>
      <w:r w:rsidR="00067F64">
        <w:rPr>
          <w:sz w:val="28"/>
          <w:szCs w:val="28"/>
        </w:rPr>
        <w:t xml:space="preserve"> для цивільного населенн</w:t>
      </w:r>
      <w:r w:rsidR="00FB3DAE">
        <w:rPr>
          <w:sz w:val="28"/>
          <w:szCs w:val="28"/>
        </w:rPr>
        <w:t>я, усунення аварійних ситуацій у</w:t>
      </w:r>
      <w:r w:rsidR="00067F64">
        <w:rPr>
          <w:sz w:val="28"/>
          <w:szCs w:val="28"/>
        </w:rPr>
        <w:t xml:space="preserve"> закладах бюджетної сфери та комунального господарства, заходи з територіальної оборони, запровадження</w:t>
      </w:r>
      <w:r w:rsidR="004006FD">
        <w:rPr>
          <w:sz w:val="28"/>
          <w:szCs w:val="28"/>
        </w:rPr>
        <w:t xml:space="preserve"> інституту</w:t>
      </w:r>
      <w:r w:rsidR="00067F64">
        <w:rPr>
          <w:sz w:val="28"/>
          <w:szCs w:val="28"/>
        </w:rPr>
        <w:t xml:space="preserve"> помічника ветерана для переходу ветеранів від військової служби до цивільного життя.</w:t>
      </w:r>
    </w:p>
    <w:p w:rsidR="0009083F" w:rsidRPr="007A6B4D" w:rsidRDefault="0036736C" w:rsidP="00B5733E">
      <w:pPr>
        <w:pStyle w:val="a9"/>
        <w:autoSpaceDE w:val="0"/>
        <w:autoSpaceDN w:val="0"/>
        <w:spacing w:before="0"/>
        <w:ind w:left="0" w:firstLine="567"/>
        <w:rPr>
          <w:sz w:val="28"/>
          <w:szCs w:val="28"/>
        </w:rPr>
      </w:pPr>
      <w:r>
        <w:rPr>
          <w:sz w:val="28"/>
          <w:szCs w:val="28"/>
        </w:rPr>
        <w:t>З метою</w:t>
      </w:r>
      <w:r w:rsidR="000131C8" w:rsidRPr="007A6B4D">
        <w:rPr>
          <w:sz w:val="28"/>
          <w:szCs w:val="28"/>
        </w:rPr>
        <w:t xml:space="preserve"> виконання </w:t>
      </w:r>
      <w:r w:rsidR="0009083F">
        <w:rPr>
          <w:sz w:val="28"/>
          <w:szCs w:val="28"/>
        </w:rPr>
        <w:t xml:space="preserve">запланованих показників </w:t>
      </w:r>
      <w:r w:rsidR="000131C8" w:rsidRPr="007A6B4D">
        <w:rPr>
          <w:sz w:val="28"/>
          <w:szCs w:val="28"/>
        </w:rPr>
        <w:t xml:space="preserve">бюджету, </w:t>
      </w:r>
      <w:r w:rsidR="000131C8">
        <w:rPr>
          <w:sz w:val="28"/>
          <w:szCs w:val="28"/>
        </w:rPr>
        <w:t xml:space="preserve">своєчасного </w:t>
      </w:r>
      <w:r w:rsidR="000131C8" w:rsidRPr="00284CB4">
        <w:rPr>
          <w:sz w:val="28"/>
          <w:szCs w:val="28"/>
        </w:rPr>
        <w:t xml:space="preserve"> опрацювання всіх питань </w:t>
      </w:r>
      <w:r w:rsidR="000131C8">
        <w:rPr>
          <w:sz w:val="28"/>
          <w:szCs w:val="28"/>
        </w:rPr>
        <w:t xml:space="preserve">задля забезпечення </w:t>
      </w:r>
      <w:r w:rsidR="000131C8" w:rsidRPr="00284CB4">
        <w:rPr>
          <w:sz w:val="28"/>
          <w:szCs w:val="28"/>
        </w:rPr>
        <w:t>соціальн</w:t>
      </w:r>
      <w:r w:rsidR="000131C8">
        <w:rPr>
          <w:sz w:val="28"/>
          <w:szCs w:val="28"/>
        </w:rPr>
        <w:t>ої</w:t>
      </w:r>
      <w:r w:rsidR="000131C8" w:rsidRPr="00284CB4">
        <w:rPr>
          <w:sz w:val="28"/>
          <w:szCs w:val="28"/>
        </w:rPr>
        <w:t xml:space="preserve"> стабільн</w:t>
      </w:r>
      <w:r w:rsidR="000131C8">
        <w:rPr>
          <w:sz w:val="28"/>
          <w:szCs w:val="28"/>
        </w:rPr>
        <w:t xml:space="preserve">ості </w:t>
      </w:r>
      <w:r w:rsidR="00723AE5">
        <w:rPr>
          <w:sz w:val="28"/>
          <w:szCs w:val="28"/>
        </w:rPr>
        <w:t>в</w:t>
      </w:r>
      <w:r w:rsidR="000131C8" w:rsidRPr="00284CB4">
        <w:rPr>
          <w:sz w:val="28"/>
          <w:szCs w:val="28"/>
        </w:rPr>
        <w:t xml:space="preserve"> місті й своєчасно</w:t>
      </w:r>
      <w:r w:rsidR="000131C8">
        <w:rPr>
          <w:sz w:val="28"/>
          <w:szCs w:val="28"/>
        </w:rPr>
        <w:t>го</w:t>
      </w:r>
      <w:r w:rsidR="000131C8" w:rsidRPr="00284CB4">
        <w:rPr>
          <w:sz w:val="28"/>
          <w:szCs w:val="28"/>
        </w:rPr>
        <w:t xml:space="preserve"> реагува</w:t>
      </w:r>
      <w:r w:rsidR="0009083F">
        <w:rPr>
          <w:sz w:val="28"/>
          <w:szCs w:val="28"/>
        </w:rPr>
        <w:t xml:space="preserve">ння </w:t>
      </w:r>
      <w:r w:rsidR="000131C8" w:rsidRPr="00284CB4">
        <w:rPr>
          <w:sz w:val="28"/>
          <w:szCs w:val="28"/>
        </w:rPr>
        <w:t>на виклики війни</w:t>
      </w:r>
      <w:r w:rsidR="0009083F" w:rsidRPr="0009083F">
        <w:rPr>
          <w:sz w:val="28"/>
          <w:szCs w:val="28"/>
        </w:rPr>
        <w:t xml:space="preserve"> </w:t>
      </w:r>
      <w:r w:rsidR="0009083F" w:rsidRPr="007A6B4D">
        <w:rPr>
          <w:sz w:val="28"/>
          <w:szCs w:val="28"/>
        </w:rPr>
        <w:t>спільн</w:t>
      </w:r>
      <w:r w:rsidR="004006FD">
        <w:rPr>
          <w:sz w:val="28"/>
          <w:szCs w:val="28"/>
        </w:rPr>
        <w:t>а</w:t>
      </w:r>
      <w:r w:rsidR="0009083F" w:rsidRPr="007A6B4D">
        <w:rPr>
          <w:sz w:val="28"/>
          <w:szCs w:val="28"/>
        </w:rPr>
        <w:t xml:space="preserve"> конструктивн</w:t>
      </w:r>
      <w:r w:rsidR="004006FD">
        <w:rPr>
          <w:sz w:val="28"/>
          <w:szCs w:val="28"/>
        </w:rPr>
        <w:t>а</w:t>
      </w:r>
      <w:r w:rsidR="000C7E53">
        <w:rPr>
          <w:sz w:val="28"/>
          <w:szCs w:val="28"/>
        </w:rPr>
        <w:t xml:space="preserve"> робот</w:t>
      </w:r>
      <w:r w:rsidR="004006FD">
        <w:rPr>
          <w:sz w:val="28"/>
          <w:szCs w:val="28"/>
        </w:rPr>
        <w:t>а</w:t>
      </w:r>
      <w:r w:rsidR="000C7E53">
        <w:rPr>
          <w:sz w:val="28"/>
          <w:szCs w:val="28"/>
        </w:rPr>
        <w:t xml:space="preserve"> </w:t>
      </w:r>
      <w:r w:rsidR="0009083F">
        <w:rPr>
          <w:sz w:val="28"/>
          <w:szCs w:val="28"/>
        </w:rPr>
        <w:lastRenderedPageBreak/>
        <w:t xml:space="preserve">департаменту фінансів виконкому Криворізької міської ради, </w:t>
      </w:r>
      <w:r w:rsidR="00723AE5">
        <w:rPr>
          <w:sz w:val="28"/>
          <w:szCs w:val="28"/>
        </w:rPr>
        <w:t>у</w:t>
      </w:r>
      <w:r w:rsidR="0009083F">
        <w:rPr>
          <w:sz w:val="28"/>
          <w:szCs w:val="28"/>
        </w:rPr>
        <w:t xml:space="preserve">сіх учасників бюджетного процесу, а також органів державної казначейської служби, </w:t>
      </w:r>
      <w:r w:rsidR="0009083F" w:rsidRPr="007A6B4D">
        <w:rPr>
          <w:sz w:val="28"/>
          <w:szCs w:val="28"/>
        </w:rPr>
        <w:t>податкових та контролюючих органів буде продовж</w:t>
      </w:r>
      <w:r w:rsidR="00723AE5">
        <w:rPr>
          <w:sz w:val="28"/>
          <w:szCs w:val="28"/>
        </w:rPr>
        <w:t>ена й у</w:t>
      </w:r>
      <w:r w:rsidR="0009083F" w:rsidRPr="007A6B4D">
        <w:rPr>
          <w:sz w:val="28"/>
          <w:szCs w:val="28"/>
        </w:rPr>
        <w:t xml:space="preserve"> </w:t>
      </w:r>
      <w:r w:rsidR="0009083F">
        <w:rPr>
          <w:sz w:val="28"/>
          <w:szCs w:val="28"/>
        </w:rPr>
        <w:t>202</w:t>
      </w:r>
      <w:r w:rsidR="00A46D60">
        <w:rPr>
          <w:sz w:val="28"/>
          <w:szCs w:val="28"/>
        </w:rPr>
        <w:t>4</w:t>
      </w:r>
      <w:r w:rsidR="0009083F" w:rsidRPr="007A6B4D">
        <w:rPr>
          <w:sz w:val="28"/>
          <w:szCs w:val="28"/>
        </w:rPr>
        <w:t xml:space="preserve"> році. </w:t>
      </w:r>
    </w:p>
    <w:p w:rsidR="002B0B4E" w:rsidRDefault="002B0B4E" w:rsidP="00DF33F8">
      <w:pPr>
        <w:jc w:val="both"/>
        <w:rPr>
          <w:sz w:val="28"/>
          <w:szCs w:val="28"/>
          <w:highlight w:val="yellow"/>
          <w:lang w:val="uk-UA"/>
        </w:rPr>
      </w:pPr>
    </w:p>
    <w:p w:rsidR="00155199" w:rsidRDefault="00155199" w:rsidP="00EA7427">
      <w:pPr>
        <w:pStyle w:val="1"/>
        <w:spacing w:before="0"/>
        <w:ind w:left="5670" w:firstLine="0"/>
        <w:rPr>
          <w:rFonts w:ascii="Times New Roman" w:hAnsi="Times New Roman"/>
          <w:b w:val="0"/>
          <w:i/>
          <w:lang w:val="ru-RU"/>
        </w:rPr>
      </w:pPr>
      <w:r>
        <w:rPr>
          <w:rFonts w:ascii="Times New Roman" w:hAnsi="Times New Roman"/>
          <w:b w:val="0"/>
          <w:i/>
        </w:rPr>
        <w:t xml:space="preserve">Директор </w:t>
      </w:r>
      <w:r>
        <w:rPr>
          <w:rFonts w:ascii="Times New Roman" w:hAnsi="Times New Roman"/>
          <w:b w:val="0"/>
          <w:i/>
          <w:lang w:val="ru-RU"/>
        </w:rPr>
        <w:t>департаменту</w:t>
      </w:r>
    </w:p>
    <w:p w:rsidR="00155199" w:rsidRDefault="00155199" w:rsidP="00EA7427">
      <w:pPr>
        <w:pStyle w:val="1"/>
        <w:spacing w:before="0"/>
        <w:ind w:left="5670" w:firstLine="0"/>
        <w:rPr>
          <w:rFonts w:ascii="Times New Roman" w:hAnsi="Times New Roman"/>
          <w:b w:val="0"/>
          <w:i/>
        </w:rPr>
      </w:pPr>
      <w:r>
        <w:rPr>
          <w:rFonts w:ascii="Times New Roman" w:hAnsi="Times New Roman"/>
          <w:b w:val="0"/>
          <w:i/>
        </w:rPr>
        <w:t>фінансів виконкому Криворізької</w:t>
      </w:r>
    </w:p>
    <w:p w:rsidR="00B5733E" w:rsidRDefault="00155199" w:rsidP="00EA7427">
      <w:pPr>
        <w:pStyle w:val="1"/>
        <w:spacing w:before="0"/>
        <w:ind w:left="5670" w:firstLine="0"/>
        <w:rPr>
          <w:rFonts w:ascii="Times New Roman" w:hAnsi="Times New Roman"/>
          <w:b w:val="0"/>
          <w:i/>
        </w:rPr>
      </w:pPr>
      <w:r>
        <w:rPr>
          <w:rFonts w:ascii="Times New Roman" w:hAnsi="Times New Roman"/>
          <w:b w:val="0"/>
          <w:i/>
        </w:rPr>
        <w:t>міської</w:t>
      </w:r>
      <w:r>
        <w:rPr>
          <w:rFonts w:ascii="Times New Roman" w:hAnsi="Times New Roman"/>
          <w:b w:val="0"/>
          <w:i/>
          <w:lang w:val="ru-RU"/>
        </w:rPr>
        <w:t xml:space="preserve"> ради</w:t>
      </w:r>
      <w:r>
        <w:rPr>
          <w:rFonts w:ascii="Times New Roman" w:hAnsi="Times New Roman"/>
          <w:b w:val="0"/>
          <w:i/>
          <w:lang w:val="ru-RU"/>
        </w:rPr>
        <w:tab/>
      </w:r>
      <w:r>
        <w:rPr>
          <w:rFonts w:ascii="Times New Roman" w:hAnsi="Times New Roman"/>
          <w:b w:val="0"/>
          <w:i/>
          <w:lang w:val="ru-RU"/>
        </w:rPr>
        <w:tab/>
      </w:r>
      <w:r w:rsidR="00B5733E">
        <w:rPr>
          <w:rFonts w:ascii="Times New Roman" w:hAnsi="Times New Roman"/>
          <w:b w:val="0"/>
          <w:i/>
        </w:rPr>
        <w:tab/>
      </w:r>
    </w:p>
    <w:p w:rsidR="00155199" w:rsidRDefault="00155199" w:rsidP="00EA7427">
      <w:pPr>
        <w:pStyle w:val="1"/>
        <w:spacing w:before="0"/>
        <w:ind w:left="5670" w:firstLine="0"/>
        <w:rPr>
          <w:rFonts w:ascii="Times New Roman" w:hAnsi="Times New Roman"/>
          <w:b w:val="0"/>
          <w:i/>
        </w:rPr>
      </w:pPr>
      <w:r>
        <w:rPr>
          <w:rFonts w:ascii="Times New Roman" w:hAnsi="Times New Roman"/>
          <w:b w:val="0"/>
          <w:i/>
        </w:rPr>
        <w:t>Олена РОЖКО</w:t>
      </w:r>
    </w:p>
    <w:p w:rsidR="002B0B4E" w:rsidRDefault="002B0B4E" w:rsidP="00DF33F8">
      <w:pPr>
        <w:jc w:val="both"/>
        <w:rPr>
          <w:sz w:val="28"/>
          <w:szCs w:val="28"/>
          <w:highlight w:val="yellow"/>
          <w:lang w:val="uk-UA"/>
        </w:rPr>
      </w:pPr>
    </w:p>
    <w:sectPr w:rsidR="002B0B4E" w:rsidSect="00AC50E3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8E4" w:rsidRDefault="00DF68E4" w:rsidP="0034643F">
      <w:r>
        <w:separator/>
      </w:r>
    </w:p>
  </w:endnote>
  <w:endnote w:type="continuationSeparator" w:id="0">
    <w:p w:rsidR="00DF68E4" w:rsidRDefault="00DF68E4" w:rsidP="0034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8E4" w:rsidRDefault="00DF68E4" w:rsidP="0034643F">
      <w:r>
        <w:separator/>
      </w:r>
    </w:p>
  </w:footnote>
  <w:footnote w:type="continuationSeparator" w:id="0">
    <w:p w:rsidR="00DF68E4" w:rsidRDefault="00DF68E4" w:rsidP="003464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1050206"/>
      <w:docPartObj>
        <w:docPartGallery w:val="Page Numbers (Top of Page)"/>
        <w:docPartUnique/>
      </w:docPartObj>
    </w:sdtPr>
    <w:sdtEndPr/>
    <w:sdtContent>
      <w:p w:rsidR="0034643F" w:rsidRDefault="001959E3">
        <w:pPr>
          <w:pStyle w:val="ab"/>
          <w:jc w:val="center"/>
        </w:pPr>
        <w:r>
          <w:fldChar w:fldCharType="begin"/>
        </w:r>
        <w:r w:rsidR="0034643F">
          <w:instrText>PAGE   \* MERGEFORMAT</w:instrText>
        </w:r>
        <w:r>
          <w:fldChar w:fldCharType="separate"/>
        </w:r>
        <w:r w:rsidR="00EA7427">
          <w:rPr>
            <w:noProof/>
          </w:rPr>
          <w:t>5</w:t>
        </w:r>
        <w:r>
          <w:fldChar w:fldCharType="end"/>
        </w:r>
      </w:p>
    </w:sdtContent>
  </w:sdt>
  <w:p w:rsidR="0034643F" w:rsidRDefault="0034643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84FB5"/>
    <w:multiLevelType w:val="hybridMultilevel"/>
    <w:tmpl w:val="265262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236485A"/>
    <w:multiLevelType w:val="hybridMultilevel"/>
    <w:tmpl w:val="4EDCD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A1A"/>
    <w:rsid w:val="00002527"/>
    <w:rsid w:val="00004055"/>
    <w:rsid w:val="000042A0"/>
    <w:rsid w:val="00004FCE"/>
    <w:rsid w:val="000050D6"/>
    <w:rsid w:val="00007997"/>
    <w:rsid w:val="000131C8"/>
    <w:rsid w:val="00026916"/>
    <w:rsid w:val="0003428F"/>
    <w:rsid w:val="00042E27"/>
    <w:rsid w:val="00043CDD"/>
    <w:rsid w:val="00045249"/>
    <w:rsid w:val="000529C1"/>
    <w:rsid w:val="000564A7"/>
    <w:rsid w:val="00067F64"/>
    <w:rsid w:val="00086C3D"/>
    <w:rsid w:val="0009083F"/>
    <w:rsid w:val="00097466"/>
    <w:rsid w:val="00097F72"/>
    <w:rsid w:val="000A5F3F"/>
    <w:rsid w:val="000B1301"/>
    <w:rsid w:val="000B2661"/>
    <w:rsid w:val="000C1BA7"/>
    <w:rsid w:val="000C41BA"/>
    <w:rsid w:val="000C74C4"/>
    <w:rsid w:val="000C7E53"/>
    <w:rsid w:val="000D332D"/>
    <w:rsid w:val="000D7AD9"/>
    <w:rsid w:val="000F6700"/>
    <w:rsid w:val="00106698"/>
    <w:rsid w:val="00121104"/>
    <w:rsid w:val="00122755"/>
    <w:rsid w:val="00123329"/>
    <w:rsid w:val="0012632B"/>
    <w:rsid w:val="00127F8C"/>
    <w:rsid w:val="0014478F"/>
    <w:rsid w:val="00155199"/>
    <w:rsid w:val="00165BD9"/>
    <w:rsid w:val="00166BFE"/>
    <w:rsid w:val="0016799C"/>
    <w:rsid w:val="00175A60"/>
    <w:rsid w:val="00180BAD"/>
    <w:rsid w:val="00181B02"/>
    <w:rsid w:val="00183B87"/>
    <w:rsid w:val="0019234E"/>
    <w:rsid w:val="001959E3"/>
    <w:rsid w:val="001B7983"/>
    <w:rsid w:val="001C1093"/>
    <w:rsid w:val="001C4440"/>
    <w:rsid w:val="00206207"/>
    <w:rsid w:val="00206879"/>
    <w:rsid w:val="002069E0"/>
    <w:rsid w:val="00210DFC"/>
    <w:rsid w:val="0021129F"/>
    <w:rsid w:val="00214F4F"/>
    <w:rsid w:val="00224A3D"/>
    <w:rsid w:val="00230069"/>
    <w:rsid w:val="00237934"/>
    <w:rsid w:val="00243F8E"/>
    <w:rsid w:val="00250054"/>
    <w:rsid w:val="00254D07"/>
    <w:rsid w:val="00257364"/>
    <w:rsid w:val="00263BC5"/>
    <w:rsid w:val="00265BD0"/>
    <w:rsid w:val="002715FD"/>
    <w:rsid w:val="00290378"/>
    <w:rsid w:val="002A1383"/>
    <w:rsid w:val="002A74FD"/>
    <w:rsid w:val="002B0B4E"/>
    <w:rsid w:val="002B1ECD"/>
    <w:rsid w:val="002B5515"/>
    <w:rsid w:val="002C7150"/>
    <w:rsid w:val="002D22B0"/>
    <w:rsid w:val="002D3AF9"/>
    <w:rsid w:val="002E0169"/>
    <w:rsid w:val="002F109C"/>
    <w:rsid w:val="00303492"/>
    <w:rsid w:val="00304AA4"/>
    <w:rsid w:val="00315824"/>
    <w:rsid w:val="003168BF"/>
    <w:rsid w:val="00327C85"/>
    <w:rsid w:val="00332363"/>
    <w:rsid w:val="0033494B"/>
    <w:rsid w:val="00335A3D"/>
    <w:rsid w:val="00346398"/>
    <w:rsid w:val="0034643F"/>
    <w:rsid w:val="003620CF"/>
    <w:rsid w:val="0036736C"/>
    <w:rsid w:val="00370232"/>
    <w:rsid w:val="0037037B"/>
    <w:rsid w:val="00373C19"/>
    <w:rsid w:val="003776E4"/>
    <w:rsid w:val="00386734"/>
    <w:rsid w:val="003A51E6"/>
    <w:rsid w:val="003B235F"/>
    <w:rsid w:val="003B7818"/>
    <w:rsid w:val="003B7F26"/>
    <w:rsid w:val="003C118F"/>
    <w:rsid w:val="003E2DC0"/>
    <w:rsid w:val="003E7923"/>
    <w:rsid w:val="004006FD"/>
    <w:rsid w:val="00407FC1"/>
    <w:rsid w:val="004171EE"/>
    <w:rsid w:val="00417E4C"/>
    <w:rsid w:val="004209E6"/>
    <w:rsid w:val="0042207E"/>
    <w:rsid w:val="00422FE3"/>
    <w:rsid w:val="00424D08"/>
    <w:rsid w:val="004250AC"/>
    <w:rsid w:val="0044085B"/>
    <w:rsid w:val="00443140"/>
    <w:rsid w:val="0045035F"/>
    <w:rsid w:val="004569D0"/>
    <w:rsid w:val="004654A2"/>
    <w:rsid w:val="00466FEB"/>
    <w:rsid w:val="004673F3"/>
    <w:rsid w:val="00470149"/>
    <w:rsid w:val="00471D55"/>
    <w:rsid w:val="00474C42"/>
    <w:rsid w:val="0047668B"/>
    <w:rsid w:val="00482629"/>
    <w:rsid w:val="00482EDC"/>
    <w:rsid w:val="004B6BB9"/>
    <w:rsid w:val="004D1715"/>
    <w:rsid w:val="00504CF2"/>
    <w:rsid w:val="005073A7"/>
    <w:rsid w:val="00512207"/>
    <w:rsid w:val="00520A4E"/>
    <w:rsid w:val="00524F92"/>
    <w:rsid w:val="005329F7"/>
    <w:rsid w:val="00540EA1"/>
    <w:rsid w:val="005628B1"/>
    <w:rsid w:val="00564193"/>
    <w:rsid w:val="00585E6F"/>
    <w:rsid w:val="005A4120"/>
    <w:rsid w:val="005A5350"/>
    <w:rsid w:val="005D7222"/>
    <w:rsid w:val="005E6AAD"/>
    <w:rsid w:val="005F5BE4"/>
    <w:rsid w:val="00600933"/>
    <w:rsid w:val="00611C45"/>
    <w:rsid w:val="0064748D"/>
    <w:rsid w:val="00651D27"/>
    <w:rsid w:val="00653D23"/>
    <w:rsid w:val="00670187"/>
    <w:rsid w:val="00677CD4"/>
    <w:rsid w:val="00677DDF"/>
    <w:rsid w:val="00681A2B"/>
    <w:rsid w:val="00683ADB"/>
    <w:rsid w:val="0068469F"/>
    <w:rsid w:val="00685DF8"/>
    <w:rsid w:val="00694016"/>
    <w:rsid w:val="006A0677"/>
    <w:rsid w:val="006A3985"/>
    <w:rsid w:val="006A4414"/>
    <w:rsid w:val="006A499B"/>
    <w:rsid w:val="006A5FF2"/>
    <w:rsid w:val="006D4BDB"/>
    <w:rsid w:val="00704005"/>
    <w:rsid w:val="007069C6"/>
    <w:rsid w:val="007103A7"/>
    <w:rsid w:val="00712176"/>
    <w:rsid w:val="00723358"/>
    <w:rsid w:val="00723AE5"/>
    <w:rsid w:val="0072730C"/>
    <w:rsid w:val="007479D1"/>
    <w:rsid w:val="00753318"/>
    <w:rsid w:val="00755AD9"/>
    <w:rsid w:val="00757A8B"/>
    <w:rsid w:val="00763171"/>
    <w:rsid w:val="00764D46"/>
    <w:rsid w:val="007738AD"/>
    <w:rsid w:val="00780834"/>
    <w:rsid w:val="00781115"/>
    <w:rsid w:val="0078779C"/>
    <w:rsid w:val="007935A8"/>
    <w:rsid w:val="007B1A53"/>
    <w:rsid w:val="007B3A3A"/>
    <w:rsid w:val="007C4599"/>
    <w:rsid w:val="007E5DF2"/>
    <w:rsid w:val="007F0384"/>
    <w:rsid w:val="007F39CD"/>
    <w:rsid w:val="00805A92"/>
    <w:rsid w:val="00810CDF"/>
    <w:rsid w:val="00811A92"/>
    <w:rsid w:val="00816F51"/>
    <w:rsid w:val="00820561"/>
    <w:rsid w:val="008205C0"/>
    <w:rsid w:val="008230F5"/>
    <w:rsid w:val="0082475E"/>
    <w:rsid w:val="008250FA"/>
    <w:rsid w:val="008273D5"/>
    <w:rsid w:val="00830FEE"/>
    <w:rsid w:val="00832595"/>
    <w:rsid w:val="00837846"/>
    <w:rsid w:val="00847667"/>
    <w:rsid w:val="00847ABE"/>
    <w:rsid w:val="00853A1A"/>
    <w:rsid w:val="00867332"/>
    <w:rsid w:val="00867BD3"/>
    <w:rsid w:val="00876CC0"/>
    <w:rsid w:val="0087795C"/>
    <w:rsid w:val="00887096"/>
    <w:rsid w:val="00892997"/>
    <w:rsid w:val="008A27CF"/>
    <w:rsid w:val="008A5FD4"/>
    <w:rsid w:val="008A6F84"/>
    <w:rsid w:val="008A7E44"/>
    <w:rsid w:val="008B1844"/>
    <w:rsid w:val="008B39C0"/>
    <w:rsid w:val="008B5FC4"/>
    <w:rsid w:val="008C7C3E"/>
    <w:rsid w:val="008D437A"/>
    <w:rsid w:val="008E0929"/>
    <w:rsid w:val="008E38F1"/>
    <w:rsid w:val="008E4217"/>
    <w:rsid w:val="008E59B5"/>
    <w:rsid w:val="00900D71"/>
    <w:rsid w:val="00901848"/>
    <w:rsid w:val="0090605B"/>
    <w:rsid w:val="009100E8"/>
    <w:rsid w:val="00915F40"/>
    <w:rsid w:val="0095299F"/>
    <w:rsid w:val="00965D88"/>
    <w:rsid w:val="0097169C"/>
    <w:rsid w:val="00984E74"/>
    <w:rsid w:val="009A3DBC"/>
    <w:rsid w:val="009B61EF"/>
    <w:rsid w:val="009C5DC7"/>
    <w:rsid w:val="009D072D"/>
    <w:rsid w:val="009D1A8F"/>
    <w:rsid w:val="009D4925"/>
    <w:rsid w:val="009D6117"/>
    <w:rsid w:val="009E6AE5"/>
    <w:rsid w:val="009F3371"/>
    <w:rsid w:val="00A04385"/>
    <w:rsid w:val="00A0443C"/>
    <w:rsid w:val="00A04BAF"/>
    <w:rsid w:val="00A16723"/>
    <w:rsid w:val="00A2352C"/>
    <w:rsid w:val="00A23962"/>
    <w:rsid w:val="00A327F4"/>
    <w:rsid w:val="00A35BB5"/>
    <w:rsid w:val="00A37417"/>
    <w:rsid w:val="00A41FFF"/>
    <w:rsid w:val="00A4673A"/>
    <w:rsid w:val="00A46D60"/>
    <w:rsid w:val="00A47D67"/>
    <w:rsid w:val="00A51FC7"/>
    <w:rsid w:val="00A52EB7"/>
    <w:rsid w:val="00A54F83"/>
    <w:rsid w:val="00A55A19"/>
    <w:rsid w:val="00A616FD"/>
    <w:rsid w:val="00A76385"/>
    <w:rsid w:val="00A8109A"/>
    <w:rsid w:val="00A87292"/>
    <w:rsid w:val="00AA780B"/>
    <w:rsid w:val="00AB72F7"/>
    <w:rsid w:val="00AB7818"/>
    <w:rsid w:val="00AC45AA"/>
    <w:rsid w:val="00AC50E3"/>
    <w:rsid w:val="00AC6576"/>
    <w:rsid w:val="00AE01A1"/>
    <w:rsid w:val="00AE0EF8"/>
    <w:rsid w:val="00AF1996"/>
    <w:rsid w:val="00B00A06"/>
    <w:rsid w:val="00B1422C"/>
    <w:rsid w:val="00B21909"/>
    <w:rsid w:val="00B278A1"/>
    <w:rsid w:val="00B46851"/>
    <w:rsid w:val="00B5733E"/>
    <w:rsid w:val="00B73D0C"/>
    <w:rsid w:val="00B8672F"/>
    <w:rsid w:val="00BA1B59"/>
    <w:rsid w:val="00BA7424"/>
    <w:rsid w:val="00BC2209"/>
    <w:rsid w:val="00BD29FE"/>
    <w:rsid w:val="00BE19DA"/>
    <w:rsid w:val="00C05C1E"/>
    <w:rsid w:val="00C10683"/>
    <w:rsid w:val="00C1476D"/>
    <w:rsid w:val="00C2049B"/>
    <w:rsid w:val="00C269CA"/>
    <w:rsid w:val="00C332DF"/>
    <w:rsid w:val="00C37FC3"/>
    <w:rsid w:val="00C55E34"/>
    <w:rsid w:val="00C60EDA"/>
    <w:rsid w:val="00C63266"/>
    <w:rsid w:val="00C86A15"/>
    <w:rsid w:val="00C92B23"/>
    <w:rsid w:val="00C93496"/>
    <w:rsid w:val="00C97861"/>
    <w:rsid w:val="00CA5504"/>
    <w:rsid w:val="00CB3FF6"/>
    <w:rsid w:val="00CB47F4"/>
    <w:rsid w:val="00CD490E"/>
    <w:rsid w:val="00CD643F"/>
    <w:rsid w:val="00CE4363"/>
    <w:rsid w:val="00CF12CF"/>
    <w:rsid w:val="00CF3C09"/>
    <w:rsid w:val="00D03566"/>
    <w:rsid w:val="00D07A9C"/>
    <w:rsid w:val="00D130F1"/>
    <w:rsid w:val="00D246D2"/>
    <w:rsid w:val="00D3420F"/>
    <w:rsid w:val="00D35895"/>
    <w:rsid w:val="00D43A63"/>
    <w:rsid w:val="00D52D02"/>
    <w:rsid w:val="00D6018B"/>
    <w:rsid w:val="00D621ED"/>
    <w:rsid w:val="00D72B59"/>
    <w:rsid w:val="00D72D69"/>
    <w:rsid w:val="00D93FD0"/>
    <w:rsid w:val="00DB018C"/>
    <w:rsid w:val="00DB2AB2"/>
    <w:rsid w:val="00DC5371"/>
    <w:rsid w:val="00DC5869"/>
    <w:rsid w:val="00DD59DD"/>
    <w:rsid w:val="00DE0914"/>
    <w:rsid w:val="00DF33F8"/>
    <w:rsid w:val="00DF68E4"/>
    <w:rsid w:val="00DF7295"/>
    <w:rsid w:val="00E03503"/>
    <w:rsid w:val="00E06C54"/>
    <w:rsid w:val="00E10AD8"/>
    <w:rsid w:val="00E10C9A"/>
    <w:rsid w:val="00E14FCB"/>
    <w:rsid w:val="00E1569F"/>
    <w:rsid w:val="00E17EE9"/>
    <w:rsid w:val="00E22E2E"/>
    <w:rsid w:val="00E24A80"/>
    <w:rsid w:val="00E41612"/>
    <w:rsid w:val="00E41E58"/>
    <w:rsid w:val="00E51295"/>
    <w:rsid w:val="00E75864"/>
    <w:rsid w:val="00E77507"/>
    <w:rsid w:val="00E82948"/>
    <w:rsid w:val="00E97230"/>
    <w:rsid w:val="00EA0B34"/>
    <w:rsid w:val="00EA3B8F"/>
    <w:rsid w:val="00EA7427"/>
    <w:rsid w:val="00EC10CE"/>
    <w:rsid w:val="00ED037F"/>
    <w:rsid w:val="00ED0649"/>
    <w:rsid w:val="00ED333C"/>
    <w:rsid w:val="00EF1ED2"/>
    <w:rsid w:val="00F02DE9"/>
    <w:rsid w:val="00F046FB"/>
    <w:rsid w:val="00F070C3"/>
    <w:rsid w:val="00F16B6D"/>
    <w:rsid w:val="00F22156"/>
    <w:rsid w:val="00F260DF"/>
    <w:rsid w:val="00F314CC"/>
    <w:rsid w:val="00F32483"/>
    <w:rsid w:val="00F35A6A"/>
    <w:rsid w:val="00F579BE"/>
    <w:rsid w:val="00F60DD2"/>
    <w:rsid w:val="00F63D14"/>
    <w:rsid w:val="00F81923"/>
    <w:rsid w:val="00F97241"/>
    <w:rsid w:val="00FA0562"/>
    <w:rsid w:val="00FA71CE"/>
    <w:rsid w:val="00FA7D7D"/>
    <w:rsid w:val="00FB0B8A"/>
    <w:rsid w:val="00FB2013"/>
    <w:rsid w:val="00FB3DAE"/>
    <w:rsid w:val="00FB5400"/>
    <w:rsid w:val="00FC0D76"/>
    <w:rsid w:val="00FC1AAA"/>
    <w:rsid w:val="00FC44B5"/>
    <w:rsid w:val="00FD5ABC"/>
    <w:rsid w:val="00FE2103"/>
    <w:rsid w:val="00FE47A6"/>
    <w:rsid w:val="00FF68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1448C"/>
  <w15:docId w15:val="{5243C16C-E05F-4247-BCCA-811E7600E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A1A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4643F"/>
    <w:pPr>
      <w:keepNext/>
      <w:spacing w:before="60"/>
      <w:ind w:left="28" w:firstLine="709"/>
      <w:jc w:val="both"/>
      <w:outlineLvl w:val="0"/>
    </w:pPr>
    <w:rPr>
      <w:rFonts w:ascii="Bookman Old Style" w:hAnsi="Bookman Old Style"/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853A1A"/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142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42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209E6"/>
    <w:pPr>
      <w:ind w:left="720"/>
      <w:contextualSpacing/>
    </w:pPr>
    <w:rPr>
      <w:sz w:val="28"/>
      <w:szCs w:val="28"/>
    </w:rPr>
  </w:style>
  <w:style w:type="paragraph" w:styleId="a6">
    <w:name w:val="No Spacing"/>
    <w:uiPriority w:val="1"/>
    <w:qFormat/>
    <w:rsid w:val="00D07A9C"/>
    <w:pPr>
      <w:ind w:firstLine="0"/>
      <w:jc w:val="left"/>
    </w:pPr>
  </w:style>
  <w:style w:type="table" w:styleId="a7">
    <w:name w:val="Table Grid"/>
    <w:basedOn w:val="a1"/>
    <w:uiPriority w:val="59"/>
    <w:rsid w:val="000D7AD9"/>
    <w:pPr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A54F83"/>
    <w:rPr>
      <w:color w:val="0000FF" w:themeColor="hyperlink"/>
      <w:u w:val="single"/>
    </w:rPr>
  </w:style>
  <w:style w:type="paragraph" w:styleId="a9">
    <w:name w:val="Body Text"/>
    <w:basedOn w:val="a"/>
    <w:link w:val="aa"/>
    <w:semiHidden/>
    <w:unhideWhenUsed/>
    <w:rsid w:val="00DF33F8"/>
    <w:pPr>
      <w:spacing w:before="60"/>
      <w:ind w:left="28" w:firstLine="709"/>
      <w:jc w:val="both"/>
    </w:pPr>
    <w:rPr>
      <w:lang w:val="uk-UA"/>
    </w:rPr>
  </w:style>
  <w:style w:type="character" w:customStyle="1" w:styleId="aa">
    <w:name w:val="Основной текст Знак"/>
    <w:basedOn w:val="a0"/>
    <w:link w:val="a9"/>
    <w:semiHidden/>
    <w:rsid w:val="00DF33F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rvps2">
    <w:name w:val="rvps2"/>
    <w:basedOn w:val="a"/>
    <w:rsid w:val="00DF33F8"/>
    <w:pPr>
      <w:spacing w:before="100" w:beforeAutospacing="1" w:after="100" w:afterAutospacing="1"/>
      <w:ind w:left="28" w:firstLine="709"/>
      <w:jc w:val="both"/>
    </w:pPr>
  </w:style>
  <w:style w:type="character" w:customStyle="1" w:styleId="10">
    <w:name w:val="Заголовок 1 Знак"/>
    <w:basedOn w:val="a0"/>
    <w:link w:val="1"/>
    <w:rsid w:val="0034643F"/>
    <w:rPr>
      <w:rFonts w:ascii="Bookman Old Style" w:eastAsia="Times New Roman" w:hAnsi="Bookman Old Style" w:cs="Times New Roman"/>
      <w:b/>
      <w:sz w:val="28"/>
      <w:szCs w:val="24"/>
      <w:lang w:val="uk-UA" w:eastAsia="ru-RU"/>
    </w:rPr>
  </w:style>
  <w:style w:type="paragraph" w:styleId="ab">
    <w:name w:val="header"/>
    <w:basedOn w:val="a"/>
    <w:link w:val="ac"/>
    <w:uiPriority w:val="99"/>
    <w:unhideWhenUsed/>
    <w:rsid w:val="0034643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464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34643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464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31582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1582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Body Text Indent"/>
    <w:basedOn w:val="a"/>
    <w:link w:val="af0"/>
    <w:uiPriority w:val="99"/>
    <w:unhideWhenUsed/>
    <w:rsid w:val="008A5FD4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8A5F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aliases w:val="Обычный (Web)1"/>
    <w:basedOn w:val="a"/>
    <w:link w:val="af2"/>
    <w:uiPriority w:val="99"/>
    <w:unhideWhenUsed/>
    <w:rsid w:val="008A5FD4"/>
    <w:pPr>
      <w:spacing w:before="100" w:beforeAutospacing="1" w:after="100" w:afterAutospacing="1"/>
    </w:pPr>
  </w:style>
  <w:style w:type="character" w:customStyle="1" w:styleId="af2">
    <w:name w:val="Обычный (веб) Знак"/>
    <w:aliases w:val="Обычный (Web)1 Знак"/>
    <w:link w:val="af1"/>
    <w:uiPriority w:val="99"/>
    <w:locked/>
    <w:rsid w:val="008A5F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_"/>
    <w:basedOn w:val="a0"/>
    <w:link w:val="11"/>
    <w:rsid w:val="006A067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3"/>
    <w:rsid w:val="006A0677"/>
    <w:pPr>
      <w:widowControl w:val="0"/>
      <w:shd w:val="clear" w:color="auto" w:fill="FFFFFF"/>
      <w:spacing w:after="120" w:line="257" w:lineRule="auto"/>
      <w:ind w:firstLine="400"/>
    </w:pPr>
    <w:rPr>
      <w:sz w:val="26"/>
      <w:szCs w:val="26"/>
      <w:lang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0131C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131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fin221_1\Desktop\&#1047;&#1074;&#1110;&#1090;%202023\&#1076;&#1080;&#1072;&#1075;&#1088;&#1072;&#1084;&#1072;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b="1"/>
              <a:t>БЮДЖЕТОУТВОРЮЮЧІ ДЖЕРЕЛА ДОХОДІВ</a:t>
            </a:r>
            <a:r>
              <a:rPr lang="uk-UA"/>
              <a:t> </a:t>
            </a:r>
          </a:p>
          <a:p>
            <a:pPr>
              <a:defRPr/>
            </a:pPr>
            <a:endParaRPr lang="uk-UA"/>
          </a:p>
        </c:rich>
      </c:tx>
      <c:layout>
        <c:manualLayout>
          <c:xMode val="edge"/>
          <c:yMode val="edge"/>
          <c:x val="0.200998687664042"/>
          <c:y val="3.836930455635491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36943861184018667"/>
          <c:y val="0.12243186582809226"/>
          <c:w val="0.49892985790569283"/>
          <c:h val="0.6843883193846052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млн грн</c:v>
                </c:pt>
              </c:strCache>
            </c:strRef>
          </c:tx>
          <c:spPr>
            <a:solidFill>
              <a:schemeClr val="accent3">
                <a:shade val="76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1.0117080074888249E-3"/>
                  <c:y val="-3.252032520325203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DCF9-4A88-8200-A0AE53BB758A}"/>
                </c:ext>
              </c:extLst>
            </c:dLbl>
            <c:dLbl>
              <c:idx val="1"/>
              <c:layout>
                <c:manualLayout>
                  <c:x val="5.9322960056614081E-3"/>
                  <c:y val="-4.192817361244598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CF9-4A88-8200-A0AE53BB758A}"/>
                </c:ext>
              </c:extLst>
            </c:dLbl>
            <c:dLbl>
              <c:idx val="2"/>
              <c:layout>
                <c:manualLayout>
                  <c:x val="-1.9510359839832307E-3"/>
                  <c:y val="-2.31124767940592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DCF9-4A88-8200-A0AE53BB758A}"/>
                </c:ext>
              </c:extLst>
            </c:dLbl>
            <c:dLbl>
              <c:idx val="3"/>
              <c:layout>
                <c:manualLayout>
                  <c:x val="-5.8085053557494501E-3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DCF9-4A88-8200-A0AE53BB758A}"/>
                </c:ext>
              </c:extLst>
            </c:dLbl>
            <c:dLbl>
              <c:idx val="4"/>
              <c:layout>
                <c:manualLayout>
                  <c:x val="1.6991391434431637E-3"/>
                  <c:y val="-6.504065040650466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DCF9-4A88-8200-A0AE53BB758A}"/>
                </c:ext>
              </c:extLst>
            </c:dLbl>
            <c:dLbl>
              <c:idx val="5"/>
              <c:layout>
                <c:manualLayout>
                  <c:x val="1.9819819819819821E-3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DCF9-4A88-8200-A0AE53BB758A}"/>
                </c:ext>
              </c:extLst>
            </c:dLbl>
            <c:dLbl>
              <c:idx val="6"/>
              <c:layout>
                <c:manualLayout>
                  <c:x val="-2.7027027027043545E-4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DCF9-4A88-8200-A0AE53BB758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Лист1!$A$2:$A$9</c:f>
              <c:strCache>
                <c:ptCount val="7"/>
                <c:pt idx="0">
                  <c:v>Інші</c:v>
                </c:pt>
                <c:pt idx="1">
                  <c:v>Податок на нерухоме майно</c:v>
                </c:pt>
                <c:pt idx="2">
                  <c:v>Рентна плата за надра</c:v>
                </c:pt>
                <c:pt idx="3">
                  <c:v>Єдиний податок</c:v>
                </c:pt>
                <c:pt idx="4">
                  <c:v>Акцизний податок</c:v>
                </c:pt>
                <c:pt idx="5">
                  <c:v>Плата за землю</c:v>
                </c:pt>
                <c:pt idx="6">
                  <c:v>Податок на доходи фізичних осіб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369.7</c:v>
                </c:pt>
                <c:pt idx="1">
                  <c:v>33</c:v>
                </c:pt>
                <c:pt idx="2">
                  <c:v>101.7</c:v>
                </c:pt>
                <c:pt idx="3">
                  <c:v>344.9</c:v>
                </c:pt>
                <c:pt idx="4">
                  <c:v>435.4</c:v>
                </c:pt>
                <c:pt idx="5">
                  <c:v>2820.9</c:v>
                </c:pt>
                <c:pt idx="6">
                  <c:v>4366.7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DCF9-4A88-8200-A0AE53BB758A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%</c:v>
                </c:pt>
              </c:strCache>
            </c:strRef>
          </c:tx>
          <c:spPr>
            <a:solidFill>
              <a:schemeClr val="accent3">
                <a:tint val="77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-0.10239409493608526"/>
                  <c:y val="5.528455284552845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DCF9-4A88-8200-A0AE53BB758A}"/>
                </c:ext>
              </c:extLst>
            </c:dLbl>
            <c:dLbl>
              <c:idx val="1"/>
              <c:layout>
                <c:manualLayout>
                  <c:x val="-0.10784051310992274"/>
                  <c:y val="5.066205748671660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DCF9-4A88-8200-A0AE53BB758A}"/>
                </c:ext>
              </c:extLst>
            </c:dLbl>
            <c:dLbl>
              <c:idx val="2"/>
              <c:layout>
                <c:manualLayout>
                  <c:x val="-0.11246083147456397"/>
                  <c:y val="5.391409000704168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DCF9-4A88-8200-A0AE53BB758A}"/>
                </c:ext>
              </c:extLst>
            </c:dLbl>
            <c:dLbl>
              <c:idx val="3"/>
              <c:layout>
                <c:manualLayout>
                  <c:x val="-0.10263327152365348"/>
                  <c:y val="5.348466807502720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DCF9-4A88-8200-A0AE53BB758A}"/>
                </c:ext>
              </c:extLst>
            </c:dLbl>
            <c:dLbl>
              <c:idx val="4"/>
              <c:layout>
                <c:manualLayout>
                  <c:x val="-0.10593928318687126"/>
                  <c:y val="6.187030279751616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DCF9-4A88-8200-A0AE53BB758A}"/>
                </c:ext>
              </c:extLst>
            </c:dLbl>
            <c:dLbl>
              <c:idx val="5"/>
              <c:layout>
                <c:manualLayout>
                  <c:x val="-0.10470201463724885"/>
                  <c:y val="4.87804878048780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DCF9-4A88-8200-A0AE53BB758A}"/>
                </c:ext>
              </c:extLst>
            </c:dLbl>
            <c:dLbl>
              <c:idx val="6"/>
              <c:layout>
                <c:manualLayout>
                  <c:x val="-0.10699810987790349"/>
                  <c:y val="5.203252032520325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DCF9-4A88-8200-A0AE53BB758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Лист1!$A$2:$A$9</c:f>
              <c:strCache>
                <c:ptCount val="7"/>
                <c:pt idx="0">
                  <c:v>Інші</c:v>
                </c:pt>
                <c:pt idx="1">
                  <c:v>Податок на нерухоме майно</c:v>
                </c:pt>
                <c:pt idx="2">
                  <c:v>Рентна плата за надра</c:v>
                </c:pt>
                <c:pt idx="3">
                  <c:v>Єдиний податок</c:v>
                </c:pt>
                <c:pt idx="4">
                  <c:v>Акцизний податок</c:v>
                </c:pt>
                <c:pt idx="5">
                  <c:v>Плата за землю</c:v>
                </c:pt>
                <c:pt idx="6">
                  <c:v>Податок на доходи фізичних осіб</c:v>
                </c:pt>
              </c:strCache>
            </c:strRef>
          </c:cat>
          <c:val>
            <c:numRef>
              <c:f>Лист1!$C$2:$C$9</c:f>
              <c:numCache>
                <c:formatCode>0.0%</c:formatCode>
                <c:ptCount val="8"/>
                <c:pt idx="0">
                  <c:v>4.3999999999999997E-2</c:v>
                </c:pt>
                <c:pt idx="1">
                  <c:v>4.0000000000000001E-3</c:v>
                </c:pt>
                <c:pt idx="2">
                  <c:v>1.2E-2</c:v>
                </c:pt>
                <c:pt idx="3">
                  <c:v>4.1000000000000002E-2</c:v>
                </c:pt>
                <c:pt idx="4">
                  <c:v>5.0999999999999997E-2</c:v>
                </c:pt>
                <c:pt idx="5">
                  <c:v>0.33300000000000002</c:v>
                </c:pt>
                <c:pt idx="6">
                  <c:v>0.51500000000000001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F-DCF9-4A88-8200-A0AE53BB758A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77810304"/>
        <c:axId val="77841536"/>
      </c:barChart>
      <c:catAx>
        <c:axId val="7781030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7841536"/>
        <c:crosses val="autoZero"/>
        <c:auto val="1"/>
        <c:lblAlgn val="ctr"/>
        <c:lblOffset val="100"/>
        <c:noMultiLvlLbl val="0"/>
      </c:catAx>
      <c:valAx>
        <c:axId val="7784153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78103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0"/>
        <c:delete val="1"/>
      </c:legendEntry>
      <c:layout>
        <c:manualLayout>
          <c:xMode val="edge"/>
          <c:yMode val="edge"/>
          <c:x val="0.8662707937369899"/>
          <c:y val="0.87889650484336945"/>
          <c:w val="0.10946207133944323"/>
          <c:h val="6.0352096275735317E-2"/>
        </c:manualLayout>
      </c:layout>
      <c:overlay val="0"/>
      <c:spPr>
        <a:noFill/>
        <a:ln>
          <a:noFill/>
        </a:ln>
        <a:effectLst/>
      </c:spPr>
      <c:txPr>
        <a:bodyPr rot="300000" spcFirstLastPara="1" vertOverflow="ellipsis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ctr">
              <a:defRPr sz="1600" b="1" i="0" u="none" strike="noStrike" kern="1200" cap="all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400" b="1" i="0" cap="all" baseline="0">
                <a:effectLst/>
              </a:rPr>
              <a:t>Структура витрат за економічною класифікацією бюджету за 2023 рік</a:t>
            </a:r>
            <a:endParaRPr lang="uk-UA" sz="1400">
              <a:effectLst/>
            </a:endParaRPr>
          </a:p>
        </c:rich>
      </c:tx>
      <c:layout>
        <c:manualLayout>
          <c:xMode val="edge"/>
          <c:yMode val="edge"/>
          <c:x val="0.12884576631712505"/>
          <c:y val="1.284914334373501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algn="ctr">
            <a:defRPr sz="1600" b="1" i="0" u="none" strike="noStrike" kern="1200" cap="all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4405244368150666"/>
          <c:y val="0.23310880801090827"/>
          <c:w val="0.77483312081816147"/>
          <c:h val="0.66479075195004644"/>
        </c:manualLayout>
      </c:layout>
      <c:pie3DChart>
        <c:varyColors val="1"/>
        <c:ser>
          <c:idx val="0"/>
          <c:order val="0"/>
          <c:spPr>
            <a:ln>
              <a:solidFill>
                <a:schemeClr val="bg1"/>
              </a:solidFill>
            </a:ln>
          </c:spPr>
          <c:dPt>
            <c:idx val="0"/>
            <c:bubble3D val="0"/>
            <c:explosion val="3"/>
            <c:spPr>
              <a:solidFill>
                <a:schemeClr val="bg1">
                  <a:lumMod val="85000"/>
                </a:schemeClr>
              </a:solidFill>
              <a:ln>
                <a:solidFill>
                  <a:schemeClr val="bg1"/>
                </a:solidFill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  <a:contourClr>
                  <a:schemeClr val="bg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5EE7-4009-B3B6-C18F86405C7C}"/>
              </c:ext>
            </c:extLst>
          </c:dPt>
          <c:dPt>
            <c:idx val="1"/>
            <c:bubble3D val="0"/>
            <c:explosion val="11"/>
            <c:spPr>
              <a:solidFill>
                <a:schemeClr val="bg2">
                  <a:lumMod val="50000"/>
                </a:schemeClr>
              </a:solidFill>
              <a:ln>
                <a:solidFill>
                  <a:schemeClr val="bg1"/>
                </a:solidFill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  <a:contourClr>
                  <a:schemeClr val="bg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5EE7-4009-B3B6-C18F86405C7C}"/>
              </c:ext>
            </c:extLst>
          </c:dPt>
          <c:dPt>
            <c:idx val="2"/>
            <c:bubble3D val="0"/>
            <c:explosion val="6"/>
            <c:spPr>
              <a:solidFill>
                <a:schemeClr val="accent3"/>
              </a:solidFill>
              <a:ln>
                <a:solidFill>
                  <a:schemeClr val="bg1"/>
                </a:solidFill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  <a:contourClr>
                  <a:schemeClr val="bg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5EE7-4009-B3B6-C18F86405C7C}"/>
              </c:ext>
            </c:extLst>
          </c:dPt>
          <c:dPt>
            <c:idx val="3"/>
            <c:bubble3D val="0"/>
            <c:explosion val="6"/>
            <c:spPr>
              <a:solidFill>
                <a:schemeClr val="tx1">
                  <a:lumMod val="50000"/>
                  <a:lumOff val="50000"/>
                </a:schemeClr>
              </a:solidFill>
              <a:ln>
                <a:solidFill>
                  <a:schemeClr val="bg1"/>
                </a:solidFill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  <a:contourClr>
                  <a:schemeClr val="bg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5EE7-4009-B3B6-C18F86405C7C}"/>
              </c:ext>
            </c:extLst>
          </c:dPt>
          <c:dPt>
            <c:idx val="4"/>
            <c:bubble3D val="0"/>
            <c:explosion val="5"/>
            <c:spPr>
              <a:solidFill>
                <a:schemeClr val="bg1">
                  <a:lumMod val="85000"/>
                </a:schemeClr>
              </a:solidFill>
              <a:ln>
                <a:solidFill>
                  <a:schemeClr val="bg1"/>
                </a:solidFill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  <a:contourClr>
                  <a:schemeClr val="bg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5EE7-4009-B3B6-C18F86405C7C}"/>
              </c:ext>
            </c:extLst>
          </c:dPt>
          <c:dPt>
            <c:idx val="5"/>
            <c:bubble3D val="0"/>
            <c:explosion val="5"/>
            <c:spPr>
              <a:solidFill>
                <a:schemeClr val="bg2">
                  <a:lumMod val="50000"/>
                </a:schemeClr>
              </a:solidFill>
              <a:ln>
                <a:solidFill>
                  <a:schemeClr val="bg1"/>
                </a:solidFill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  <a:contourClr>
                  <a:schemeClr val="bg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5EE7-4009-B3B6-C18F86405C7C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solidFill>
                  <a:schemeClr val="bg1"/>
                </a:solidFill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  <a:contourClr>
                  <a:schemeClr val="bg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5EE7-4009-B3B6-C18F86405C7C}"/>
              </c:ext>
            </c:extLst>
          </c:dPt>
          <c:dLbls>
            <c:dLbl>
              <c:idx val="0"/>
              <c:layout>
                <c:manualLayout>
                  <c:x val="-6.8139963167587483E-2"/>
                  <c:y val="-8.9686098654708515E-2"/>
                </c:manualLayout>
              </c:layout>
              <c:numFmt formatCode="0.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EE7-4009-B3B6-C18F86405C7C}"/>
                </c:ext>
              </c:extLst>
            </c:dLbl>
            <c:dLbl>
              <c:idx val="1"/>
              <c:layout>
                <c:manualLayout>
                  <c:x val="5.2695107141458065E-2"/>
                  <c:y val="-3.2259049014223195E-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1E93A5CC-4B50-4D57-8FB5-39E3DE773FFD}" type="CATEGORYNAME">
                      <a:rPr lang="ru-RU" sz="1000" baseline="0"/>
                      <a:pPr>
                        <a:defRPr>
                          <a:solidFill>
                            <a:sysClr val="windowText" lastClr="000000"/>
                          </a:solidFill>
                        </a:defRPr>
                      </a:pPr>
                      <a:t>[ИМЯ КАТЕГОРИИ]</a:t>
                    </a:fld>
                    <a:r>
                      <a:rPr lang="ru-RU" sz="1000" baseline="0"/>
                      <a:t> </a:t>
                    </a:r>
                  </a:p>
                  <a:p>
                    <a:pPr>
                      <a:defRPr>
                        <a:solidFill>
                          <a:sysClr val="windowText" lastClr="000000"/>
                        </a:solidFill>
                      </a:defRPr>
                    </a:pPr>
                    <a:fld id="{74228F38-9988-42C8-8B60-833E077E869D}" type="PERCENTAGE">
                      <a:rPr lang="ru-RU" sz="1000" baseline="0"/>
                      <a:pPr>
                        <a:defRPr>
                          <a:solidFill>
                            <a:sysClr val="windowText" lastClr="000000"/>
                          </a:solidFill>
                        </a:defRPr>
                      </a:pPr>
                      <a:t>[ПРОЦЕНТ]</a:t>
                    </a:fld>
                    <a:endParaRPr lang="ru-RU"/>
                  </a:p>
                </c:rich>
              </c:tx>
              <c:numFmt formatCode="0.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separator> </c:separator>
              <c:extLst>
                <c:ext xmlns:c15="http://schemas.microsoft.com/office/drawing/2012/chart" uri="{CE6537A1-D6FC-4f65-9D91-7224C49458BB}">
                  <c15:layout>
                    <c:manualLayout>
                      <c:w val="0.26965009208103136"/>
                      <c:h val="0.1914051999105493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5EE7-4009-B3B6-C18F86405C7C}"/>
                </c:ext>
              </c:extLst>
            </c:dLbl>
            <c:dLbl>
              <c:idx val="2"/>
              <c:layout>
                <c:manualLayout>
                  <c:x val="1.1958220862202651E-3"/>
                  <c:y val="-4.3923965356486495E-2"/>
                </c:manualLayout>
              </c:layout>
              <c:numFmt formatCode="0.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5EE7-4009-B3B6-C18F86405C7C}"/>
                </c:ext>
              </c:extLst>
            </c:dLbl>
            <c:dLbl>
              <c:idx val="3"/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B84E6A96-EBCD-46AA-8922-849AD3DF3258}" type="CATEGORYNAME">
                      <a:rPr lang="ru-RU" sz="1000" baseline="0">
                        <a:solidFill>
                          <a:sysClr val="windowText" lastClr="000000"/>
                        </a:solidFill>
                      </a:rPr>
                      <a:pPr>
                        <a:defRPr>
                          <a:solidFill>
                            <a:sysClr val="windowText" lastClr="000000"/>
                          </a:solidFill>
                        </a:defRPr>
                      </a:pPr>
                      <a:t>[ИМЯ КАТЕГОРИИ]</a:t>
                    </a:fld>
                    <a:r>
                      <a:rPr lang="ru-RU" sz="1000" baseline="0">
                        <a:solidFill>
                          <a:sysClr val="windowText" lastClr="000000"/>
                        </a:solidFill>
                      </a:rPr>
                      <a:t> </a:t>
                    </a:r>
                  </a:p>
                  <a:p>
                    <a:pPr>
                      <a:defRPr>
                        <a:solidFill>
                          <a:sysClr val="windowText" lastClr="000000"/>
                        </a:solidFill>
                      </a:defRPr>
                    </a:pPr>
                    <a:fld id="{8D09AE75-BA23-44C1-9DC4-33126037ADEB}" type="PERCENTAGE">
                      <a:rPr lang="ru-RU" sz="1000" baseline="0">
                        <a:solidFill>
                          <a:sysClr val="windowText" lastClr="000000"/>
                        </a:solidFill>
                      </a:rPr>
                      <a:pPr>
                        <a:defRPr>
                          <a:solidFill>
                            <a:sysClr val="windowText" lastClr="000000"/>
                          </a:solidFill>
                        </a:defRPr>
                      </a:pPr>
                      <a:t>[ПРОЦЕНТ]</a:t>
                    </a:fld>
                    <a:endParaRPr lang="ru-RU"/>
                  </a:p>
                </c:rich>
              </c:tx>
              <c:numFmt formatCode="0.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5EE7-4009-B3B6-C18F86405C7C}"/>
                </c:ext>
              </c:extLst>
            </c:dLbl>
            <c:dLbl>
              <c:idx val="4"/>
              <c:layout>
                <c:manualLayout>
                  <c:x val="1.1049723756906061E-2"/>
                  <c:y val="-4.7832585949177879E-2"/>
                </c:manualLayout>
              </c:layout>
              <c:numFmt formatCode="0.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5EE7-4009-B3B6-C18F86405C7C}"/>
                </c:ext>
              </c:extLst>
            </c:dLbl>
            <c:dLbl>
              <c:idx val="5"/>
              <c:layout>
                <c:manualLayout>
                  <c:x val="0.21533264503074559"/>
                  <c:y val="7.5307065056293013E-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0FEC7516-62E0-4C66-B261-79C74DA27049}" type="CATEGORYNAME">
                      <a:rPr lang="ru-RU" sz="1000" baseline="0">
                        <a:solidFill>
                          <a:sysClr val="windowText" lastClr="000000"/>
                        </a:solidFill>
                      </a:rPr>
                      <a:pPr>
                        <a:defRPr>
                          <a:solidFill>
                            <a:sysClr val="windowText" lastClr="000000"/>
                          </a:solidFill>
                        </a:defRPr>
                      </a:pPr>
                      <a:t>[ИМЯ КАТЕГОРИИ]</a:t>
                    </a:fld>
                    <a:r>
                      <a:rPr lang="ru-RU" sz="1000" baseline="0">
                        <a:solidFill>
                          <a:sysClr val="windowText" lastClr="000000"/>
                        </a:solidFill>
                      </a:rPr>
                      <a:t> </a:t>
                    </a:r>
                  </a:p>
                  <a:p>
                    <a:pPr>
                      <a:defRPr>
                        <a:solidFill>
                          <a:sysClr val="windowText" lastClr="000000"/>
                        </a:solidFill>
                      </a:defRPr>
                    </a:pPr>
                    <a:fld id="{86EC47BE-FCDF-481D-9C54-1685B2C99BB8}" type="PERCENTAGE">
                      <a:rPr lang="ru-RU" sz="1000" baseline="0">
                        <a:solidFill>
                          <a:sysClr val="windowText" lastClr="000000"/>
                        </a:solidFill>
                      </a:rPr>
                      <a:pPr>
                        <a:defRPr>
                          <a:solidFill>
                            <a:sysClr val="windowText" lastClr="000000"/>
                          </a:solidFill>
                        </a:defRPr>
                      </a:pPr>
                      <a:t>[ПРОЦЕНТ]</a:t>
                    </a:fld>
                    <a:endParaRPr lang="ru-RU"/>
                  </a:p>
                </c:rich>
              </c:tx>
              <c:numFmt formatCode="0.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33876886936094308"/>
                      <c:h val="0.19136754059588706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B-5EE7-4009-B3B6-C18F86405C7C}"/>
                </c:ext>
              </c:extLst>
            </c:dLbl>
            <c:dLbl>
              <c:idx val="6"/>
              <c:numFmt formatCode="0.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5EE7-4009-B3B6-C18F86405C7C}"/>
                </c:ext>
              </c:extLst>
            </c:dLbl>
            <c:numFmt formatCode="0.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spc="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eparator> </c:separator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Лист1!$A$3:$A$9</c:f>
              <c:strCache>
                <c:ptCount val="6"/>
                <c:pt idx="0">
                  <c:v>Інші поточні та капітальні видатки</c:v>
                </c:pt>
                <c:pt idx="1">
                  <c:v>Заробітна плата з нарахуваннями працівникам бюджетної сфери</c:v>
                </c:pt>
                <c:pt idx="2">
                  <c:v>Енергоносії та комунальні послуги</c:v>
                </c:pt>
                <c:pt idx="3">
                  <c:v>Медикаменти та харчування</c:v>
                </c:pt>
                <c:pt idx="4">
                  <c:v>Трансферти населенню, іншим бюджетам, пільговий проїзд</c:v>
                </c:pt>
                <c:pt idx="5">
                  <c:v>Фінансова підтримка комунальним підприємствам на виплату зарплати та інші соціальні видатки</c:v>
                </c:pt>
              </c:strCache>
            </c:strRef>
          </c:cat>
          <c:val>
            <c:numRef>
              <c:f>Лист1!$C$3:$C$9</c:f>
              <c:numCache>
                <c:formatCode>0.0%</c:formatCode>
                <c:ptCount val="7"/>
                <c:pt idx="0">
                  <c:v>0.38800000000000001</c:v>
                </c:pt>
                <c:pt idx="1">
                  <c:v>0.28799999999999998</c:v>
                </c:pt>
                <c:pt idx="2">
                  <c:v>6.2E-2</c:v>
                </c:pt>
                <c:pt idx="3">
                  <c:v>2.8000000000000001E-2</c:v>
                </c:pt>
                <c:pt idx="4">
                  <c:v>0.126</c:v>
                </c:pt>
                <c:pt idx="5">
                  <c:v>0.108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5EE7-4009-B3B6-C18F86405C7C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0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41CCE-C718-4512-905E-59D0CB416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5</Pages>
  <Words>1223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8179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f_income418</dc:creator>
  <cp:lastModifiedBy>opr3</cp:lastModifiedBy>
  <cp:revision>97</cp:revision>
  <cp:lastPrinted>2024-01-19T11:34:00Z</cp:lastPrinted>
  <dcterms:created xsi:type="dcterms:W3CDTF">2024-01-16T06:21:00Z</dcterms:created>
  <dcterms:modified xsi:type="dcterms:W3CDTF">2024-02-14T10:00:00Z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-1397469906</vt:i4>
  </property>
</Properties>
</file>