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25" w:rsidRDefault="000D3AE1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B25D25" w:rsidRDefault="000D3AE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B25D25" w:rsidRDefault="000D3AE1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B25D25" w:rsidRDefault="000D3AE1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B25D25" w:rsidRDefault="000D3AE1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B25D25" w:rsidRDefault="00B25D2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5D25" w:rsidRDefault="000D3AE1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№25</w:t>
      </w:r>
    </w:p>
    <w:p w:rsidR="00B25D25" w:rsidRDefault="000D3AE1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18 лютого 2022 року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5E72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E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Яровий Ю.Б., </w:t>
      </w:r>
      <w:r w:rsidR="00095E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 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95E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5E72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095E72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Вишневсь</w:t>
      </w:r>
      <w:r w:rsidR="00095E7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End"/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І.М.,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0D3A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засіданні взяли участь: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Карий І.</w:t>
      </w:r>
      <w:r w:rsidR="00822F1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– директор департаменту розвитку інфраструктури міста  виконкому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Катричев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П.В. –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в.о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начальника управління транспорту та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Зельцер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Д.Ю. – заступник начальника управління капітального будівництва виконкому Криворізької міської ради, Пінчук Т.В. –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в.о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начальника інспекції з благоустрою виконкому Криворізької міської ради, Корнієнко Н.В. – начальник відділу благоустрою департаменту розвитку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інфраструктури міста  виконкому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.</w:t>
      </w:r>
    </w:p>
    <w:p w:rsidR="00B25D25" w:rsidRDefault="00B25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B25D25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D25" w:rsidRDefault="000D3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B25D25" w:rsidRDefault="00B34C86" w:rsidP="00B34C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</w:t>
      </w:r>
      <w:r w:rsidR="000D3A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Розгляд питань </w:t>
      </w:r>
      <w:proofErr w:type="spellStart"/>
      <w:r w:rsidR="000D3A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 w:rsidR="000D3A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порядку денного пленарного засідання ХХІI сесії Криворізької міської ради VІII скликання.</w:t>
      </w:r>
    </w:p>
    <w:p w:rsidR="00B25D25" w:rsidRDefault="00B25D25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</w:p>
    <w:p w:rsidR="00B25D25" w:rsidRDefault="000D3AE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ОСНОВНЕ ПИТАННЯ</w:t>
      </w:r>
    </w:p>
    <w:p w:rsidR="00B25D25" w:rsidRDefault="00B25D25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tbl>
      <w:tblPr>
        <w:tblStyle w:val="afffff2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68"/>
        <w:gridCol w:w="8186"/>
      </w:tblGrid>
      <w:tr w:rsidR="00B25D25">
        <w:trPr>
          <w:trHeight w:val="993"/>
        </w:trPr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D25" w:rsidRDefault="000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</w:p>
        </w:tc>
        <w:tc>
          <w:tcPr>
            <w:tcW w:w="8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5D25" w:rsidRDefault="000D3AE1" w:rsidP="00EA791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2021 році Програми економічного та соціального розвитку м. Кривого Рогу на 2017–2022 роки</w:t>
            </w:r>
          </w:p>
        </w:tc>
      </w:tr>
    </w:tbl>
    <w:p w:rsidR="00B25D25" w:rsidRDefault="00B25D25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ПИТАННЯ:</w:t>
      </w:r>
    </w:p>
    <w:p w:rsidR="00B25D25" w:rsidRDefault="00B25D2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tbl>
      <w:tblPr>
        <w:tblStyle w:val="afffff3"/>
        <w:tblW w:w="98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19"/>
        <w:gridCol w:w="8153"/>
      </w:tblGrid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spacing w:after="1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Питання 22</w:t>
            </w:r>
          </w:p>
        </w:tc>
        <w:tc>
          <w:tcPr>
            <w:tcW w:w="8153" w:type="dxa"/>
          </w:tcPr>
          <w:p w:rsidR="00B25D25" w:rsidRDefault="000D3AE1" w:rsidP="00EA791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24.12.2015 №66 «Про затвердження Програми розвитку підприємств міського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електро-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автотранспорту на 2016 – 2023 роки»</w:t>
            </w:r>
          </w:p>
        </w:tc>
      </w:tr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Питання 23</w:t>
            </w:r>
          </w:p>
        </w:tc>
        <w:tc>
          <w:tcPr>
            <w:tcW w:w="8153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2013–2023 років»</w:t>
            </w:r>
          </w:p>
        </w:tc>
      </w:tr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Питання 24</w:t>
            </w:r>
          </w:p>
        </w:tc>
        <w:tc>
          <w:tcPr>
            <w:tcW w:w="8153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Питання 25</w:t>
            </w:r>
          </w:p>
        </w:tc>
        <w:tc>
          <w:tcPr>
            <w:tcW w:w="8153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№1210 «Про затвердження Програми підтримки об’єднань співвласників багатоквартирного будинку в м. Кривому Розі на 2017–2026 роки»</w:t>
            </w:r>
          </w:p>
        </w:tc>
      </w:tr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Питання 26</w:t>
            </w:r>
          </w:p>
        </w:tc>
        <w:tc>
          <w:tcPr>
            <w:tcW w:w="8153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передачу функцій замовника й надання згоди департаменту житлово-комунального господарства та будівництва Дніпропетровської обласної державної адміністрації на проведення будівельних робіт на об’єктах будівництва</w:t>
            </w:r>
          </w:p>
        </w:tc>
      </w:tr>
      <w:tr w:rsidR="00B25D25">
        <w:trPr>
          <w:trHeight w:val="365"/>
        </w:trPr>
        <w:tc>
          <w:tcPr>
            <w:tcW w:w="1719" w:type="dxa"/>
          </w:tcPr>
          <w:p w:rsidR="00B25D25" w:rsidRDefault="000D3AE1">
            <w:pPr>
              <w:spacing w:after="1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Питання 27</w:t>
            </w:r>
          </w:p>
        </w:tc>
        <w:tc>
          <w:tcPr>
            <w:tcW w:w="8153" w:type="dxa"/>
          </w:tcPr>
          <w:p w:rsidR="00B25D25" w:rsidRDefault="000D3AE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2024 роки»</w:t>
            </w:r>
          </w:p>
        </w:tc>
      </w:tr>
    </w:tbl>
    <w:p w:rsidR="00B25D25" w:rsidRDefault="00B25D25" w:rsidP="00EA791F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25D25" w:rsidRDefault="000D3AE1" w:rsidP="00B34C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Інші питання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порядку денного розглянути пакетом або за пропозиціями членів постійної комісії.</w:t>
      </w:r>
    </w:p>
    <w:p w:rsidR="00B25D25" w:rsidRDefault="000D3AE1" w:rsidP="00EA791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:rsidR="00B25D25" w:rsidRDefault="000D3AE1" w:rsidP="00B34C8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Про звіт про повторне відстеження результативності регуляторного акта - рішення Криворізької міської ради від 30.06.2020 №4780 «Про встановлення ставки збору за місця для паркування транспортних засобів у м. Кривому Розі на 2021 рік»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B25D25" w:rsidRDefault="000D3AE1" w:rsidP="00B34C8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Про регуляторну діяльність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регуляторного акта -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України.</w:t>
      </w:r>
    </w:p>
    <w:p w:rsidR="00B25D25" w:rsidRDefault="000D3AE1" w:rsidP="00B34C8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Про звіт з повторного відстеження результативності рішення міської ради від 23.12.2020 №48 «Про встановлення Правил утримання домашніх тварин у м. Кривому Розі».</w:t>
      </w:r>
    </w:p>
    <w:p w:rsidR="00B25D25" w:rsidRDefault="000D3AE1" w:rsidP="00B34C8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Різне.</w:t>
      </w:r>
    </w:p>
    <w:p w:rsidR="00B25D25" w:rsidRDefault="00B25D25" w:rsidP="00EA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5D25" w:rsidRDefault="000D3AE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B25D25" w:rsidRDefault="00B25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D25" w:rsidRDefault="000D3A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СЛУХАЛИ: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запропонував перейти до розгляду питань </w:t>
      </w:r>
      <w:proofErr w:type="spellStart"/>
      <w:r w:rsidR="00822F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822F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денного пленарного засідання ХХIІ сесії міської ради VIIІ скликання:</w:t>
      </w:r>
    </w:p>
    <w:p w:rsidR="00B25D25" w:rsidRDefault="00B25D2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f4"/>
        <w:tblW w:w="9524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586"/>
        <w:gridCol w:w="7938"/>
      </w:tblGrid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</w:p>
        </w:tc>
        <w:tc>
          <w:tcPr>
            <w:tcW w:w="7938" w:type="dxa"/>
          </w:tcPr>
          <w:p w:rsidR="00B25D25" w:rsidRDefault="000D3AE1" w:rsidP="00EA791F">
            <w:pPr>
              <w:tabs>
                <w:tab w:val="left" w:pos="7655"/>
              </w:tabs>
              <w:spacing w:after="12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2021 році Програми економічного та соціального розвитку м. Кривого Рогу на 2017–2022 роки</w:t>
            </w:r>
          </w:p>
        </w:tc>
      </w:tr>
    </w:tbl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5"/>
        <w:tblW w:w="9524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586"/>
        <w:gridCol w:w="7938"/>
      </w:tblGrid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22</w:t>
            </w:r>
          </w:p>
        </w:tc>
        <w:tc>
          <w:tcPr>
            <w:tcW w:w="7938" w:type="dxa"/>
          </w:tcPr>
          <w:p w:rsidR="00B25D25" w:rsidRDefault="000D3AE1" w:rsidP="00EA791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24.12.2015 №66 «Про затвердження Програми розвитку підприємств міського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електро-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автотранспорту на 2016 – 2023 роки»</w:t>
            </w:r>
          </w:p>
        </w:tc>
      </w:tr>
    </w:tbl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Катриче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 П.В.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2" w:name="_heading=h.gjdgxs" w:colFirst="0" w:colLast="0"/>
      <w:bookmarkEnd w:id="2"/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«Проти» –  2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 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Вишневський І.М.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64A" w:rsidRDefault="002C064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f6"/>
        <w:tblW w:w="9524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586"/>
        <w:gridCol w:w="7938"/>
      </w:tblGrid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23</w:t>
            </w:r>
          </w:p>
        </w:tc>
        <w:tc>
          <w:tcPr>
            <w:tcW w:w="7938" w:type="dxa"/>
          </w:tcPr>
          <w:p w:rsidR="00B25D25" w:rsidRDefault="000D3AE1" w:rsidP="00EA791F">
            <w:pPr>
              <w:spacing w:after="12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затвердження звіту з виконання у 2021 році Програми розвитку підприємств міського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електро-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автотранспорту на 2016–2023 роки</w:t>
            </w:r>
          </w:p>
        </w:tc>
      </w:tr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24</w:t>
            </w:r>
          </w:p>
        </w:tc>
        <w:tc>
          <w:tcPr>
            <w:tcW w:w="7938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25</w:t>
            </w:r>
          </w:p>
        </w:tc>
        <w:tc>
          <w:tcPr>
            <w:tcW w:w="7938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№1210 «Про затвердження Програми підтримки об’єднань співвласників багатоквартирного будинку в м. Кривому Розі на 2017–2026 роки»</w:t>
            </w:r>
          </w:p>
        </w:tc>
      </w:tr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Питання 26</w:t>
            </w:r>
          </w:p>
        </w:tc>
        <w:tc>
          <w:tcPr>
            <w:tcW w:w="7938" w:type="dxa"/>
          </w:tcPr>
          <w:p w:rsidR="00B25D25" w:rsidRDefault="000D3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передачу функцій замовника й надання згоди департаменту житлово-комунального господарства та будівництва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Дніпро</w:t>
            </w:r>
            <w:r w:rsidR="002C0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обласної державної адміністрації на проведення будівельних робіт на об’єктах будівництва</w:t>
            </w:r>
          </w:p>
        </w:tc>
      </w:tr>
    </w:tbl>
    <w:p w:rsidR="002C064A" w:rsidRDefault="002C0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16"/>
          <w:szCs w:val="16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Карий І.О.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даних питань. </w:t>
      </w: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ХХIІ сесії міської ради VIIІ скликання дані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винести на розгляд ХХIІ сесії міської ради VIIІ скликання дані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7"/>
        <w:tblW w:w="9524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586"/>
        <w:gridCol w:w="7938"/>
      </w:tblGrid>
      <w:tr w:rsidR="00B25D25" w:rsidTr="00B34C86">
        <w:trPr>
          <w:trHeight w:val="310"/>
        </w:trPr>
        <w:tc>
          <w:tcPr>
            <w:tcW w:w="1586" w:type="dxa"/>
          </w:tcPr>
          <w:p w:rsidR="00B25D25" w:rsidRDefault="000D3AE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27</w:t>
            </w:r>
          </w:p>
        </w:tc>
        <w:tc>
          <w:tcPr>
            <w:tcW w:w="7938" w:type="dxa"/>
          </w:tcPr>
          <w:p w:rsidR="00B25D25" w:rsidRDefault="000D3AE1" w:rsidP="00EA791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2024 роки»</w:t>
            </w:r>
          </w:p>
        </w:tc>
      </w:tr>
    </w:tbl>
    <w:p w:rsidR="00B25D25" w:rsidRDefault="00B25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Зельце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 Д.Ю.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винести на розгляд ХХIІ сесії міської ради VIIІ скликання даний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r w:rsidR="00822F1B">
        <w:rPr>
          <w:rFonts w:ascii="Times New Roman" w:eastAsia="Times New Roman" w:hAnsi="Times New Roman" w:cs="Times New Roman"/>
          <w:sz w:val="28"/>
          <w:szCs w:val="28"/>
        </w:rPr>
        <w:t xml:space="preserve">питання </w:t>
      </w:r>
      <w:r w:rsidR="00822F1B">
        <w:rPr>
          <w:rFonts w:ascii="Times New Roman" w:eastAsia="Times New Roman" w:hAnsi="Times New Roman" w:cs="Times New Roman"/>
          <w:b/>
          <w:sz w:val="28"/>
          <w:szCs w:val="28"/>
        </w:rPr>
        <w:t>№№ 2-21, 28-88</w:t>
      </w:r>
      <w:r w:rsidR="00822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22F1B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822F1B">
        <w:rPr>
          <w:rFonts w:ascii="Times New Roman" w:eastAsia="Times New Roman" w:hAnsi="Times New Roman" w:cs="Times New Roman"/>
          <w:sz w:val="28"/>
          <w:szCs w:val="28"/>
        </w:rPr>
        <w:t xml:space="preserve"> порядку денного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>пленарного засідання</w:t>
      </w:r>
      <w:r w:rsidR="004B4B96" w:rsidRPr="004B4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 xml:space="preserve">ХХIІ сесії міської ради VIIІ скликання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запропонував враховуючи самостійний розгляд депутатами міської ради даних 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>питань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підтримати та винести на розгляд ХХIІ сесії міської ради VIIІ скликання пакетом.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6 – одноголосно.</w:t>
      </w: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 xml:space="preserve">питання </w:t>
      </w:r>
      <w:r w:rsidR="004B4B96">
        <w:rPr>
          <w:rFonts w:ascii="Times New Roman" w:eastAsia="Times New Roman" w:hAnsi="Times New Roman" w:cs="Times New Roman"/>
          <w:b/>
          <w:sz w:val="28"/>
          <w:szCs w:val="28"/>
        </w:rPr>
        <w:t>№№ 2-21, 28-88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B4B96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4B4B96">
        <w:rPr>
          <w:rFonts w:ascii="Times New Roman" w:eastAsia="Times New Roman" w:hAnsi="Times New Roman" w:cs="Times New Roman"/>
          <w:sz w:val="28"/>
          <w:szCs w:val="28"/>
        </w:rPr>
        <w:t xml:space="preserve"> порядку денного пленарного засідання</w:t>
      </w:r>
      <w:r w:rsidR="004B4B96" w:rsidRPr="004B4B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4B96">
        <w:rPr>
          <w:rFonts w:ascii="Times New Roman" w:eastAsia="Times New Roman" w:hAnsi="Times New Roman" w:cs="Times New Roman"/>
          <w:sz w:val="28"/>
          <w:szCs w:val="28"/>
        </w:rPr>
        <w:t>на розгляд ХХIІ сесії міської ради VIIІ скликання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:rsidR="002C064A" w:rsidRPr="002C064A" w:rsidRDefault="002C064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25D25" w:rsidRDefault="000D3AE1" w:rsidP="00B34C8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звіт про повторне відстеження результативності регуляторного акта – рішення Криворізької міської ради від 30.06.2020 №4780 «Про встановлення ставки збору за місця для паркування транспортних засобів у м. Кривому Розі на 2021 рік»</w:t>
      </w:r>
      <w:r w:rsidR="003A06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СЛУХАЛИ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Катричев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П.В., 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виступив з роз’ясненнями та зазначив, що вищезазначений регуляторний акт залишається актуальним. 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запропонував,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підписати звіт, оприлюднити його у термін та способи, визначені законодавством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Підписати звіт, оприлюднити його у термін та способи, визначені законодавством.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064A" w:rsidRDefault="000D3AE1" w:rsidP="002C064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регуляторну діяльність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регуляторного акта –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</w:t>
      </w:r>
      <w:r w:rsidR="003A06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C064A" w:rsidRPr="003A06FA" w:rsidRDefault="002C064A" w:rsidP="002C06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5B167F" w:rsidRDefault="000D3AE1" w:rsidP="002C064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Пінчук Т.В., </w:t>
      </w:r>
      <w:r w:rsidR="0066343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яка виступила з роз’ясненнями</w:t>
      </w:r>
      <w:r w:rsidR="0066343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</w:t>
      </w:r>
      <w:r w:rsidR="0066343C" w:rsidRPr="0066343C">
        <w:rPr>
          <w:rFonts w:ascii="Times New Roman" w:hAnsi="Times New Roman" w:cs="Times New Roman"/>
          <w:sz w:val="24"/>
          <w:szCs w:val="24"/>
        </w:rPr>
        <w:t xml:space="preserve"> </w:t>
      </w:r>
      <w:r w:rsidR="0066343C" w:rsidRPr="0066343C">
        <w:rPr>
          <w:rFonts w:ascii="Times New Roman" w:hAnsi="Times New Roman" w:cs="Times New Roman"/>
          <w:sz w:val="28"/>
          <w:szCs w:val="28"/>
        </w:rPr>
        <w:t>регуляторну діяльність</w:t>
      </w:r>
      <w:r w:rsidR="009B588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6343C" w:rsidRPr="0066343C">
        <w:rPr>
          <w:rFonts w:ascii="Times New Roman" w:hAnsi="Times New Roman" w:cs="Times New Roman"/>
          <w:sz w:val="28"/>
          <w:szCs w:val="28"/>
        </w:rPr>
        <w:t>проєкт</w:t>
      </w:r>
      <w:r w:rsidR="009B5886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66343C" w:rsidRPr="0066343C">
        <w:rPr>
          <w:rFonts w:ascii="Times New Roman" w:hAnsi="Times New Roman" w:cs="Times New Roman"/>
          <w:sz w:val="28"/>
          <w:szCs w:val="28"/>
        </w:rPr>
        <w:t xml:space="preserve"> регуляторного акта – рішення міської ради «Про затвердження Правил благоустрою в м. Кривому Розі» та аналіз</w:t>
      </w:r>
      <w:r w:rsidR="009B5886">
        <w:rPr>
          <w:rFonts w:ascii="Times New Roman" w:hAnsi="Times New Roman" w:cs="Times New Roman"/>
          <w:sz w:val="28"/>
          <w:szCs w:val="28"/>
        </w:rPr>
        <w:t>ом</w:t>
      </w:r>
      <w:r w:rsidR="0066343C" w:rsidRPr="0066343C">
        <w:rPr>
          <w:rFonts w:ascii="Times New Roman" w:hAnsi="Times New Roman" w:cs="Times New Roman"/>
          <w:sz w:val="28"/>
          <w:szCs w:val="28"/>
        </w:rPr>
        <w:t xml:space="preserve"> його регуляторного </w:t>
      </w:r>
      <w:r w:rsidR="009B5886">
        <w:rPr>
          <w:rFonts w:ascii="Times New Roman" w:hAnsi="Times New Roman" w:cs="Times New Roman"/>
          <w:sz w:val="28"/>
          <w:szCs w:val="28"/>
        </w:rPr>
        <w:t>впливу</w:t>
      </w:r>
      <w:r w:rsidR="0066343C" w:rsidRPr="0066343C">
        <w:rPr>
          <w:rFonts w:ascii="Times New Roman" w:hAnsi="Times New Roman" w:cs="Times New Roman"/>
          <w:sz w:val="28"/>
          <w:szCs w:val="28"/>
        </w:rPr>
        <w:t>,</w:t>
      </w:r>
      <w:r w:rsidR="009B5886">
        <w:rPr>
          <w:rFonts w:ascii="Times New Roman" w:hAnsi="Times New Roman" w:cs="Times New Roman"/>
          <w:sz w:val="28"/>
          <w:szCs w:val="28"/>
        </w:rPr>
        <w:t xml:space="preserve"> що</w:t>
      </w:r>
      <w:r w:rsidR="0066343C" w:rsidRPr="0066343C">
        <w:rPr>
          <w:rFonts w:ascii="Times New Roman" w:hAnsi="Times New Roman" w:cs="Times New Roman"/>
          <w:sz w:val="28"/>
          <w:szCs w:val="28"/>
        </w:rPr>
        <w:t xml:space="preserve"> були оприлюднені 23.11.2021 з урахуванням </w:t>
      </w:r>
      <w:proofErr w:type="spellStart"/>
      <w:r w:rsidR="0066343C" w:rsidRPr="0066343C">
        <w:rPr>
          <w:rFonts w:ascii="Times New Roman" w:hAnsi="Times New Roman" w:cs="Times New Roman"/>
          <w:sz w:val="28"/>
          <w:szCs w:val="28"/>
        </w:rPr>
        <w:t>пропо</w:t>
      </w:r>
      <w:r w:rsidR="00EA791F">
        <w:rPr>
          <w:rFonts w:ascii="Times New Roman" w:hAnsi="Times New Roman" w:cs="Times New Roman"/>
          <w:sz w:val="28"/>
          <w:szCs w:val="28"/>
        </w:rPr>
        <w:t>-</w:t>
      </w:r>
      <w:r w:rsidR="0066343C" w:rsidRPr="0066343C">
        <w:rPr>
          <w:rFonts w:ascii="Times New Roman" w:hAnsi="Times New Roman" w:cs="Times New Roman"/>
          <w:sz w:val="28"/>
          <w:szCs w:val="28"/>
        </w:rPr>
        <w:t>зицій</w:t>
      </w:r>
      <w:proofErr w:type="spellEnd"/>
      <w:r w:rsidR="0066343C" w:rsidRPr="0066343C">
        <w:rPr>
          <w:rFonts w:ascii="Times New Roman" w:hAnsi="Times New Roman" w:cs="Times New Roman"/>
          <w:sz w:val="28"/>
          <w:szCs w:val="28"/>
        </w:rPr>
        <w:t xml:space="preserve">, </w:t>
      </w:r>
      <w:r w:rsidR="009B5886">
        <w:rPr>
          <w:rFonts w:ascii="Times New Roman" w:hAnsi="Times New Roman" w:cs="Times New Roman"/>
          <w:sz w:val="28"/>
          <w:szCs w:val="28"/>
        </w:rPr>
        <w:t xml:space="preserve">які </w:t>
      </w:r>
      <w:r w:rsidR="0066343C" w:rsidRPr="0066343C">
        <w:rPr>
          <w:rFonts w:ascii="Times New Roman" w:hAnsi="Times New Roman" w:cs="Times New Roman"/>
          <w:sz w:val="28"/>
          <w:szCs w:val="28"/>
        </w:rPr>
        <w:t>надійшли в період громадсь</w:t>
      </w:r>
      <w:r w:rsidR="00587A14">
        <w:rPr>
          <w:rFonts w:ascii="Times New Roman" w:hAnsi="Times New Roman" w:cs="Times New Roman"/>
          <w:sz w:val="28"/>
          <w:szCs w:val="28"/>
        </w:rPr>
        <w:t>к</w:t>
      </w:r>
      <w:r w:rsidR="0066343C" w:rsidRPr="0066343C">
        <w:rPr>
          <w:rFonts w:ascii="Times New Roman" w:hAnsi="Times New Roman" w:cs="Times New Roman"/>
          <w:sz w:val="28"/>
          <w:szCs w:val="28"/>
        </w:rPr>
        <w:t>ого обговорення</w:t>
      </w:r>
      <w:r w:rsidR="005B167F">
        <w:rPr>
          <w:rFonts w:ascii="Times New Roman" w:hAnsi="Times New Roman" w:cs="Times New Roman"/>
          <w:sz w:val="28"/>
          <w:szCs w:val="28"/>
        </w:rPr>
        <w:t xml:space="preserve"> 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5B167F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ті, що не</w:t>
      </w:r>
      <w:r w:rsidR="003A06FA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 w:rsidR="005B167F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суперечили чинному законодавству</w:t>
      </w:r>
      <w:r w:rsidR="005B167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враховано, а ті, що </w:t>
      </w:r>
      <w:r w:rsidR="005B167F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суперечили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>, відх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>лено)</w:t>
      </w:r>
      <w:r w:rsidR="00D81D76" w:rsidRP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констатува</w:t>
      </w:r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>ла відповідність чинн</w:t>
      </w:r>
      <w:r w:rsidR="00D81D76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</w:t>
      </w:r>
      <w:r w:rsidR="00D81D76">
        <w:rPr>
          <w:rFonts w:ascii="Times New Roman" w:eastAsia="Times New Roman" w:hAnsi="Times New Roman" w:cs="Times New Roman"/>
          <w:sz w:val="28"/>
          <w:szCs w:val="28"/>
        </w:rPr>
        <w:t>одавству</w:t>
      </w:r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D81D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регуляторного акта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25D25" w:rsidRDefault="000D3AE1" w:rsidP="005B1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запропонував погодитися з обґрунтуванням розробників щодо врахування/відхилення пропозицій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регуляторного акта, що надійшли в період його громадського обговорення</w:t>
      </w:r>
      <w:r w:rsidR="005B1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рекомендувати розробникам ініціювати включення зазначеного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регуляторного акта до плану діяльності міської ради з підготовки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регуляторних актів на 2022 рік у І півріччі.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25D25" w:rsidRDefault="00B25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6 – одноголосно.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Погодитися з обґрунтуванням розробників щодо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враху</w:t>
      </w:r>
      <w:r w:rsidR="002C064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/відхилення пропозицій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регуляторного акта, що надійшли в період його громадського обговорення. 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Рекомендувати розробникам ініціювати включення зазначеного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регуляторного акта до плану діяльності міської ради з підготовки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регуляторних актів на 2022 рік у І півріччі.</w:t>
      </w:r>
    </w:p>
    <w:p w:rsidR="00B25D25" w:rsidRPr="00EA791F" w:rsidRDefault="00B25D25" w:rsidP="00EA791F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B25D25" w:rsidRDefault="000D3AE1" w:rsidP="00EA791F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Про звіт з повторного відстеження результативності рішення міської ради від 23.12.2020 №48 «Про встановлення Правил утримання домашніх тварин у м. Кривому Розі».</w:t>
      </w:r>
    </w:p>
    <w:p w:rsidR="00140238" w:rsidRDefault="000D3AE1" w:rsidP="00140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Корнієнко Н.В.,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яка доповіла про результати відстеження результативності рішення </w:t>
      </w:r>
      <w:r w:rsidR="008279F0" w:rsidRPr="008279F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 ради від 23.12.2020 №48</w:t>
      </w:r>
      <w:r w:rsidR="00827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встановлення Правил утримання домашніх тварин у м. Кривому Розі»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та зазначила, що 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lastRenderedPageBreak/>
        <w:t>зв’язку зі змінами в законодавстві розпочато регуляторну процедуру внесення змін до рішення для приведення його у відповідність до чинного законодавства.</w:t>
      </w:r>
    </w:p>
    <w:p w:rsidR="00B25D25" w:rsidRDefault="000D3AE1" w:rsidP="0014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0238">
        <w:rPr>
          <w:rFonts w:ascii="Times New Roman" w:eastAsia="Times New Roman" w:hAnsi="Times New Roman" w:cs="Times New Roman"/>
          <w:sz w:val="28"/>
          <w:szCs w:val="28"/>
        </w:rPr>
        <w:t xml:space="preserve">запропонував, </w:t>
      </w:r>
      <w:r w:rsidR="00140238">
        <w:rPr>
          <w:rFonts w:ascii="Times New Roman" w:eastAsia="Times New Roman" w:hAnsi="Times New Roman" w:cs="Times New Roman"/>
          <w:color w:val="000000"/>
          <w:sz w:val="28"/>
          <w:szCs w:val="28"/>
        </w:rPr>
        <w:t>підписати звіт, оприлюднити його у термін та способи, визначені законодавством</w:t>
      </w:r>
      <w:r w:rsidR="001402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0238" w:rsidRDefault="00140238" w:rsidP="0014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6 – одноголосно.</w:t>
      </w:r>
    </w:p>
    <w:p w:rsidR="00B25D25" w:rsidRPr="00140238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 w:rsidR="00140238" w:rsidRPr="00140238">
        <w:rPr>
          <w:rFonts w:ascii="Times New Roman" w:hAnsi="Times New Roman" w:cs="Times New Roman"/>
          <w:sz w:val="28"/>
          <w:szCs w:val="28"/>
        </w:rPr>
        <w:t>Підписати звіт, оприлюднити його у термін та способи, визначені законодавством</w:t>
      </w:r>
      <w:r w:rsidR="00140238">
        <w:rPr>
          <w:rFonts w:ascii="Times New Roman" w:hAnsi="Times New Roman" w:cs="Times New Roman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25D25" w:rsidRDefault="000D3AE1">
      <w:p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Різне.</w:t>
      </w:r>
    </w:p>
    <w:p w:rsidR="00B25D25" w:rsidRDefault="000D3A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зачитав звернення Ткаченко Г.В.</w:t>
      </w:r>
      <w:r w:rsid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16.02.2022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якому за</w:t>
      </w:r>
      <w:r w:rsidR="001268B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на невідповідність рішення </w:t>
      </w:r>
      <w:r w:rsidR="000C1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</w:t>
      </w:r>
      <w:r w:rsidR="001268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0C1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23.12.2020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№48 «Про встановлення Правил утримання домашніх тварин у м. Кривому Розі» до чинного законодавства, запропонував доручити департаменту розвитку інфраструктури міста 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виконкому Криворізької міської ради </w:t>
      </w:r>
      <w:r w:rsid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r w:rsidR="008A641F" w:rsidRP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згідно з чинним законодавства </w:t>
      </w:r>
      <w:r w:rsidR="008A641F" w:rsidRP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результати розгляду </w:t>
      </w:r>
      <w:r w:rsidR="008A641F" w:rsidRP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інформувати комісію і заявницю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D25" w:rsidRDefault="000D3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6 – одноголосно.</w:t>
      </w:r>
    </w:p>
    <w:p w:rsidR="006C20D4" w:rsidRDefault="000D3AE1" w:rsidP="006C20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Доручити департаменту розвитку інфраструктури міста 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виконкому Криворізької міської ради </w:t>
      </w:r>
      <w:r w:rsid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 Ткаченко Г.В.</w:t>
      </w:r>
      <w:r w:rsidR="006C20D4" w:rsidRP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16.02.2022 </w:t>
      </w:r>
      <w:r w:rsid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з чинним законодавств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 w:rsidR="009B5886" w:rsidRP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9B58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результати розгляду</w:t>
      </w:r>
      <w:r w:rsid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20D4" w:rsidRPr="008A641F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інформувати комісію і заявницю</w:t>
      </w:r>
      <w:r w:rsidR="006C20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D25" w:rsidRDefault="00B25D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D25" w:rsidRDefault="000D3AE1">
      <w:pPr>
        <w:spacing w:after="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        </w:t>
      </w:r>
      <w:r w:rsidR="000C14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Юрій Я</w:t>
      </w:r>
      <w:r w:rsidR="000C14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РОВИЙ</w:t>
      </w:r>
    </w:p>
    <w:p w:rsidR="00B25D25" w:rsidRDefault="00B25D2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42D" w:rsidRDefault="000C142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2et92p0" w:colFirst="0" w:colLast="0"/>
      <w:bookmarkEnd w:id="4"/>
    </w:p>
    <w:p w:rsidR="00B25D25" w:rsidRDefault="000D3AE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C14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 w:rsidR="000C142D"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B25D25">
      <w:headerReference w:type="default" r:id="rId9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DB" w:rsidRDefault="002302DB">
      <w:pPr>
        <w:spacing w:after="0" w:line="240" w:lineRule="auto"/>
      </w:pPr>
      <w:r>
        <w:separator/>
      </w:r>
    </w:p>
  </w:endnote>
  <w:endnote w:type="continuationSeparator" w:id="0">
    <w:p w:rsidR="002302DB" w:rsidRDefault="002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DB" w:rsidRDefault="002302DB">
      <w:pPr>
        <w:spacing w:after="0" w:line="240" w:lineRule="auto"/>
      </w:pPr>
      <w:r>
        <w:separator/>
      </w:r>
    </w:p>
  </w:footnote>
  <w:footnote w:type="continuationSeparator" w:id="0">
    <w:p w:rsidR="002302DB" w:rsidRDefault="002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25" w:rsidRDefault="000D3A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A791F">
      <w:rPr>
        <w:noProof/>
        <w:color w:val="000000"/>
      </w:rPr>
      <w:t>3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F2A9E"/>
    <w:multiLevelType w:val="multilevel"/>
    <w:tmpl w:val="657CC166"/>
    <w:lvl w:ilvl="0">
      <w:start w:val="1"/>
      <w:numFmt w:val="decimal"/>
      <w:lvlText w:val="%1."/>
      <w:lvlJc w:val="left"/>
      <w:pPr>
        <w:ind w:left="1140" w:hanging="4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5D25"/>
    <w:rsid w:val="00064B1A"/>
    <w:rsid w:val="00095E72"/>
    <w:rsid w:val="000C142D"/>
    <w:rsid w:val="000D3AE1"/>
    <w:rsid w:val="001268BE"/>
    <w:rsid w:val="00140238"/>
    <w:rsid w:val="002302DB"/>
    <w:rsid w:val="002C064A"/>
    <w:rsid w:val="003A06FA"/>
    <w:rsid w:val="003D4E49"/>
    <w:rsid w:val="004B4B96"/>
    <w:rsid w:val="00587A14"/>
    <w:rsid w:val="005B167F"/>
    <w:rsid w:val="0066343C"/>
    <w:rsid w:val="006C20D4"/>
    <w:rsid w:val="00822F1B"/>
    <w:rsid w:val="008279F0"/>
    <w:rsid w:val="008A641F"/>
    <w:rsid w:val="009B5886"/>
    <w:rsid w:val="00B25D25"/>
    <w:rsid w:val="00B34C86"/>
    <w:rsid w:val="00D81D76"/>
    <w:rsid w:val="00DC65EF"/>
    <w:rsid w:val="00EA791F"/>
    <w:rsid w:val="00EC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gfrhJOCDT8BcKqgLpBUPk1FdRQ==">AMUW2mUQGjkb2ofVCEhBP3MAidBEs4GO9g9sxH/Ly7CHRK+mUeBETGDD98TcRadNGGZ3w3zeZ/8rjcNjtGoBuX3PRyCK1paVNCUeG2D8YmoOcBwOM+45R4JxuV2Ke/YHh8NV8/QVLKkdVdGIm6nQnzS90WsMLiQl8WpzuJupx5f36r0lGqqsUrs=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6696</Words>
  <Characters>3817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5</cp:revision>
  <cp:lastPrinted>2022-02-22T14:13:00Z</cp:lastPrinted>
  <dcterms:created xsi:type="dcterms:W3CDTF">2021-04-26T19:42:00Z</dcterms:created>
  <dcterms:modified xsi:type="dcterms:W3CDTF">2022-02-22T14:14:00Z</dcterms:modified>
</cp:coreProperties>
</file>