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9E79B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9E79B1">
        <w:rPr>
          <w:b/>
          <w:spacing w:val="40"/>
          <w:sz w:val="16"/>
          <w:szCs w:val="16"/>
          <w:lang w:val="uk-UA"/>
        </w:rPr>
        <w:t>ПЕРЕЛІК</w:t>
      </w:r>
    </w:p>
    <w:p w:rsidR="009E79B1" w:rsidRPr="009E79B1" w:rsidRDefault="009E79B1" w:rsidP="0024139B">
      <w:pPr>
        <w:jc w:val="center"/>
        <w:rPr>
          <w:b/>
          <w:sz w:val="16"/>
          <w:szCs w:val="16"/>
          <w:lang w:val="uk-UA"/>
        </w:rPr>
      </w:pPr>
      <w:r w:rsidRPr="009E79B1">
        <w:rPr>
          <w:b/>
          <w:sz w:val="16"/>
          <w:szCs w:val="16"/>
          <w:lang w:val="uk-UA"/>
        </w:rPr>
        <w:t>рішень міської ради VIII скликання,</w:t>
      </w:r>
    </w:p>
    <w:p w:rsidR="009E79B1" w:rsidRPr="009E79B1" w:rsidRDefault="009E79B1" w:rsidP="0024139B">
      <w:pPr>
        <w:jc w:val="center"/>
        <w:rPr>
          <w:b/>
          <w:sz w:val="16"/>
          <w:szCs w:val="16"/>
          <w:lang w:val="uk-UA"/>
        </w:rPr>
      </w:pPr>
      <w:r w:rsidRPr="009E79B1">
        <w:rPr>
          <w:b/>
          <w:sz w:val="16"/>
          <w:szCs w:val="16"/>
          <w:lang w:val="uk-UA"/>
        </w:rPr>
        <w:t>внесених до протоколу пленарного засідання VII сесії</w:t>
      </w:r>
    </w:p>
    <w:p w:rsidR="00927FC1" w:rsidRPr="009E79B1" w:rsidRDefault="009E79B1" w:rsidP="0024139B">
      <w:pPr>
        <w:jc w:val="center"/>
        <w:rPr>
          <w:b/>
          <w:sz w:val="16"/>
          <w:szCs w:val="16"/>
          <w:lang w:val="uk-UA"/>
        </w:rPr>
      </w:pPr>
      <w:r w:rsidRPr="009E79B1">
        <w:rPr>
          <w:b/>
          <w:sz w:val="16"/>
          <w:szCs w:val="16"/>
          <w:lang w:val="uk-UA"/>
        </w:rPr>
        <w:t>від 28 квітня 2021 року</w:t>
      </w:r>
    </w:p>
    <w:p w:rsidR="0024139B" w:rsidRPr="009E79B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9E79B1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9E79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9E79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9E79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9E79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9E79B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Га</w:t>
            </w:r>
            <w:r w:rsidR="00672F48" w:rsidRPr="009E79B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9E79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9E79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9E79B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9E79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9E79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9E79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9E79B1" w:rsidTr="00672F48">
        <w:tc>
          <w:tcPr>
            <w:tcW w:w="959" w:type="dxa"/>
            <w:shd w:val="clear" w:color="auto" w:fill="auto"/>
          </w:tcPr>
          <w:p w:rsidR="009F37F4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зняття з контролю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417 від 28.04.2021</w:t>
            </w:r>
          </w:p>
        </w:tc>
        <w:tc>
          <w:tcPr>
            <w:tcW w:w="1275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Зняття з контролю, рішення ради</w:t>
            </w:r>
          </w:p>
        </w:tc>
        <w:tc>
          <w:tcPr>
            <w:tcW w:w="1399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E79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рішення міської ради від 23.12.2020 №6 «Про бюджет Криворізької міської територіальної громади на 2021 рік»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418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Показники міського бюджету на 2021 рік, зміни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рішення міської ради від 31.03.2016 №380 «Про розмежування повноважень між виконавчим комітетом, відділами, управліннями, іншими виконавчими органами міської ради та міським головою»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419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самовря</w:t>
            </w:r>
            <w:r w:rsidR="005633F5">
              <w:rPr>
                <w:sz w:val="16"/>
                <w:szCs w:val="16"/>
                <w:lang w:val="uk-UA"/>
              </w:rPr>
              <w:t>-</w:t>
            </w:r>
            <w:r w:rsidRPr="009E79B1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«Про затвердження Програми соціального захисту окремих категорій мешканців м. Кривого Рогу на 2017-2022 роки»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420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Зміни, Програма соціального захисту 2017-2022 роки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рішення міської ради від 23.12.2020 №23 «Про затвердження Переліку адміністративних, інших публічних послуг, що надаються через Центр адміністративних послуг «Віза» виконкому Криворізької міської ради, у новій редакції»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421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5633F5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E79B1">
              <w:rPr>
                <w:sz w:val="16"/>
                <w:szCs w:val="16"/>
                <w:lang w:val="uk-UA"/>
              </w:rPr>
              <w:t>Адміністра</w:t>
            </w:r>
            <w:r w:rsidR="005633F5">
              <w:rPr>
                <w:sz w:val="16"/>
                <w:szCs w:val="16"/>
                <w:lang w:val="uk-UA"/>
              </w:rPr>
              <w:t>-</w:t>
            </w:r>
            <w:r w:rsidRPr="009E79B1">
              <w:rPr>
                <w:sz w:val="16"/>
                <w:szCs w:val="16"/>
                <w:lang w:val="uk-UA"/>
              </w:rPr>
              <w:t>тивні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 xml:space="preserve"> послуги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Перелік адміністративних, інших публічних послуг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рішення міської ради від 23.12.2020 №25 «Про затвердження плану діяльності міської ради з підготовки проєктів регуляторних актів на 2021 рік»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422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підприєм</w:t>
            </w:r>
            <w:r w:rsidR="005633F5">
              <w:rPr>
                <w:sz w:val="16"/>
                <w:szCs w:val="16"/>
                <w:lang w:val="uk-UA"/>
              </w:rPr>
              <w:t>-</w:t>
            </w:r>
            <w:r w:rsidRPr="009E79B1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Сімейна політика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План діяльності з підготовки проєктів регуляторних актів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встановлення ставок єдиного податку для суб’єктів малого підприємництва м. Кривого Рогу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423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підприєм</w:t>
            </w:r>
            <w:r w:rsidR="005633F5">
              <w:rPr>
                <w:sz w:val="16"/>
                <w:szCs w:val="16"/>
                <w:lang w:val="uk-UA"/>
              </w:rPr>
              <w:t>-</w:t>
            </w:r>
            <w:r w:rsidRPr="009E79B1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Споживчий ринок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Споживчий ринок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29.07.2020 №4868 «Про відкриття інтернатних відділень у закладах загальної середньої освіти й затвердження їх граничної штатної 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чисельності»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№ 424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Відкриття інтернатних відділень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рішення міської ради від 22.04.2020 №4617 «Про затвердження Програми підвищення енергоефективності громадських будівель у м. Кривому Розі, що реалізується в співпраці з Європейським банком реконструкції та розвитку на 2020-2033 роки»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425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Відділ з питань енергоменеджменту та впровадження енергозберігаючих технологій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Енергозбереження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Програма, енергоефективність,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Кривбастеплоенерго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>, ЄБРР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рішення міської ради від 24.12.2015 №58 «Про затвердження  Програми  поповнення  та  використання матеріального  резерву  для  запобігання,  ліквідації надзвичайних ситуацій техногенного й природного характеру  та  їх наслідків у        м. Кривому Розі на 2016-2021 роки»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426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рішення міської ради від 24.12.2015 №66 «Про затвердження Програми розвитку підприємств міського електротранспорту на 2016-2023 роки»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427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телекому</w:t>
            </w:r>
            <w:r w:rsidR="005633F5">
              <w:rPr>
                <w:sz w:val="16"/>
                <w:szCs w:val="16"/>
                <w:lang w:val="uk-UA"/>
              </w:rPr>
              <w:t>-</w:t>
            </w:r>
            <w:r w:rsidRPr="009E79B1">
              <w:rPr>
                <w:sz w:val="16"/>
                <w:szCs w:val="16"/>
                <w:lang w:val="uk-UA"/>
              </w:rPr>
              <w:t>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№1208 «Про затвердження Програми розвитку та утримання об’єктів (елементів) благоустрою м. Кривого Рогу на період  2017-2022 років»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428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5633F5">
              <w:rPr>
                <w:sz w:val="16"/>
                <w:szCs w:val="16"/>
                <w:lang w:val="uk-UA"/>
              </w:rPr>
              <w:t>-</w:t>
            </w:r>
            <w:r w:rsidRPr="009E79B1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№1209  «Про затвердження Програми розвитку та утримання житлово-комунального господарства міста на період 2017-2022 років»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429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5633F5">
              <w:rPr>
                <w:sz w:val="16"/>
                <w:szCs w:val="16"/>
                <w:lang w:val="uk-UA"/>
              </w:rPr>
              <w:t>-</w:t>
            </w:r>
            <w:r w:rsidRPr="009E79B1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Про внесення змін 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рішення міської ради від 26.12.2018 №3322 «Про затвердження Програми капітального будівництва об’єктів інфраструктури м. Кривого Рогу на 2019 - 2021 роки»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430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23.12.2020 №54 «Про затвердження переліків об’єктів комунальної 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власності міста, що підлягають приватизації та за якими продовжується термін приватизації у 2021 році» та приватизацію об’єкта нерухомого майна за адресою: вул. Незалежності України, буд.16-А, прим.7а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№ 431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рішення міської ради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16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надання згоди на безоплатне прийняття зупиночного павільйону від Товариства з обмеженою відповідальністю «Спеціалізоване виробниче підприємство «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Криворіждорвибухпром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>»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432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Згода, безоплатне прийняття, зупиночний павільйон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прийняття відумерлої спадщини до комунальної власності Криворізької міської 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433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Безоплатне прийняття, відумерла спадщина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відмову в затвердженні детального плану території для розміщення станції технічного обслуговування (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автомийка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>), зі зміною цільового призначення земельних ділянок на вул. Гетьманській, 61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434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E79B1">
              <w:rPr>
                <w:sz w:val="16"/>
                <w:szCs w:val="16"/>
                <w:lang w:val="uk-UA"/>
              </w:rPr>
              <w:t>Містобуду</w:t>
            </w:r>
            <w:r w:rsidR="005633F5">
              <w:rPr>
                <w:sz w:val="16"/>
                <w:szCs w:val="16"/>
                <w:lang w:val="uk-UA"/>
              </w:rPr>
              <w:t>-</w:t>
            </w:r>
            <w:r w:rsidRPr="009E79B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Затвердження детального плану території, вул. Гетьманська, 61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відмову в наданні адміністративних послуг суб’єктам звернення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435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Відмова в наданні адміністративних послуг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відмову в наданні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436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Відмова в наданні дозволу на виготовлення технічної документації 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відмову в наданні дозволів на розробку проектів землеустрою щодо відведення земельних ділянок, адміністративної послуги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437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E79B1">
              <w:rPr>
                <w:sz w:val="16"/>
                <w:szCs w:val="16"/>
                <w:lang w:val="uk-UA"/>
              </w:rPr>
              <w:t>Містобуду</w:t>
            </w:r>
            <w:r w:rsidR="005633F5">
              <w:rPr>
                <w:sz w:val="16"/>
                <w:szCs w:val="16"/>
                <w:lang w:val="uk-UA"/>
              </w:rPr>
              <w:t>-</w:t>
            </w:r>
            <w:r w:rsidRPr="009E79B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Відмова в дозволі на розробку проектів землеустрою 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відмову в наданні згоди на розробку детального плану території та наданні адміністративної  послуги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438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земельних 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E79B1">
              <w:rPr>
                <w:sz w:val="16"/>
                <w:szCs w:val="16"/>
                <w:lang w:val="uk-UA"/>
              </w:rPr>
              <w:lastRenderedPageBreak/>
              <w:t>Містобуду</w:t>
            </w:r>
            <w:r w:rsidR="005633F5">
              <w:rPr>
                <w:sz w:val="16"/>
                <w:szCs w:val="16"/>
                <w:lang w:val="uk-UA"/>
              </w:rPr>
              <w:t>-</w:t>
            </w:r>
            <w:r w:rsidRPr="009E79B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Відмова в  розробці детальних планів територій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23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відмову в наданні в користування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439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Відмова, надання у користування, ділянки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відмову в поновленні договорів оренди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440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Відмова в поновленні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Про відмову в продажу земельної ділянки на вул.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Святогеоргіївській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>, 23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441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Відмова в продажу, вул.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Святогеоргіївській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>, 23</w:t>
            </w:r>
          </w:p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відмову в передачі у власність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442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Відмова, передача у власність земельних ділянок</w:t>
            </w:r>
          </w:p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діючих договорів оренди земельних  ділянок у частині зміни їх орендарів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443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Внесення змін до діючих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Про внесення змін до раніше ухвалених рішень міської ради, договору суперфіцію 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444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Внесення змін до рішень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внесення змін до складу конкурсної комісії із закупівлі послуг з виконання робіт із землеустрою, оцінки земель та визначення виконавця земельних торгів у формі аукціону на конкурентних засадах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445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Внесення змін до складу конкурсної комісії 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затвердження детальних планів територій та надання дозволу на розробку проектів землеустрою щодо відведення земельних ділянок, зміну цільового призначення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446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E79B1">
              <w:rPr>
                <w:sz w:val="16"/>
                <w:szCs w:val="16"/>
                <w:lang w:val="uk-UA"/>
              </w:rPr>
              <w:t>Містобуду</w:t>
            </w:r>
            <w:r w:rsidR="005633F5">
              <w:rPr>
                <w:sz w:val="16"/>
                <w:szCs w:val="16"/>
                <w:lang w:val="uk-UA"/>
              </w:rPr>
              <w:t>-</w:t>
            </w:r>
            <w:r w:rsidRPr="009E79B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Затвердження детальних планів територій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Про затвердження детального плану території для 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будівництва індивідуальних гаражів і надання дозволу на розробку  проектів землеустрою щодо відведення земельних ділянок на  вул. Симонова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№ 447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Департамент регулювання 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E79B1">
              <w:rPr>
                <w:sz w:val="16"/>
                <w:szCs w:val="16"/>
                <w:lang w:val="uk-UA"/>
              </w:rPr>
              <w:lastRenderedPageBreak/>
              <w:t>Містобуду</w:t>
            </w:r>
            <w:r w:rsidR="005633F5">
              <w:rPr>
                <w:sz w:val="16"/>
                <w:szCs w:val="16"/>
                <w:lang w:val="uk-UA"/>
              </w:rPr>
              <w:t>-</w:t>
            </w:r>
            <w:r w:rsidRPr="009E79B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Затвердження детального плану 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 xml:space="preserve">території, </w:t>
            </w:r>
            <w:r w:rsidR="005633F5">
              <w:rPr>
                <w:sz w:val="16"/>
                <w:szCs w:val="16"/>
                <w:lang w:val="uk-UA"/>
              </w:rPr>
              <w:t xml:space="preserve">                            </w:t>
            </w:r>
            <w:r w:rsidRPr="009E79B1">
              <w:rPr>
                <w:sz w:val="16"/>
                <w:szCs w:val="16"/>
                <w:lang w:val="uk-UA"/>
              </w:rPr>
              <w:t xml:space="preserve">вул. Симонова 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32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Про затвердження детального плану території та надання дозволу на розроблення проекту землеустрою щодо відведення земельної ділянки для будівництва будівель та споруд православної церкви на честь святителя Спиридона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Тримифунтського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 xml:space="preserve"> чудотворця на вул. Дніпровське шосе, напроти будинку 5 на вул. Котляревського зі зміною цільового призначення земельної ділянки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448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E79B1">
              <w:rPr>
                <w:sz w:val="16"/>
                <w:szCs w:val="16"/>
                <w:lang w:val="uk-UA"/>
              </w:rPr>
              <w:t>Містобуду</w:t>
            </w:r>
            <w:r w:rsidR="005633F5">
              <w:rPr>
                <w:sz w:val="16"/>
                <w:szCs w:val="16"/>
                <w:lang w:val="uk-UA"/>
              </w:rPr>
              <w:t>-</w:t>
            </w:r>
            <w:r w:rsidRPr="009E79B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Споживчий ринок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 і проекту землеустрою щодо впорядкування території для містобудівних потреб, реєстрацію права комунальної власності на земельні ділянки й надання їх в оренду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449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Затвердження проектів землеустрою, надання, оренда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передачу їх безоплатно у власність громадянам для будівництва й обслуговування житлового будинку, господарських будівель і споруд (присадибна ділянка), ведення садівництва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450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Затвердження проектів землеустрою, передача, власність, будинки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земельної ділянки на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бульв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 xml:space="preserve">. Вечірньому, 20 для розміщення існуючого комплексу (будівля кафе, будівля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автомийки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>, сарай), зміну виду використання земельної ділянки, реєстрацію права комунальної власності на земельну ділянку та надання її в оренду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451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Затвердження проекту,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бульв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 xml:space="preserve">. Вечірньому, 20,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автомийка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Женевській, 4 для розміщення комплексу будівель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452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земельних 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Затвердження проекту на вул. Женевській, 4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37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Кармелюка, 35 для розміщення існуючого Палацу спорту (А-3) та відмову в наданні  її в оренду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453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Затвердження проекту, вул. Кармелюка, 35, Палац спорту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зі зміною цільового призначення на вул. Серафимовича, 64 під будівлю магазину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454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Затвердження проекту, </w:t>
            </w:r>
            <w:r w:rsidR="005633F5">
              <w:rPr>
                <w:sz w:val="16"/>
                <w:szCs w:val="16"/>
                <w:lang w:val="uk-UA"/>
              </w:rPr>
              <w:t>в</w:t>
            </w:r>
            <w:r w:rsidRPr="009E79B1">
              <w:rPr>
                <w:sz w:val="16"/>
                <w:szCs w:val="16"/>
                <w:lang w:val="uk-UA"/>
              </w:rPr>
              <w:t>ул. Серафимовича, 64, магазин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для розширення кладовища «Центральне», ІІ черга зі зміною цільового призначення земельної ділянки та надання її в постійне користування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455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Затвердження проекту щодо відведення земельної ділянки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та надання їх у оренду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456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Затвердження технічної документації, надання в оренду</w:t>
            </w:r>
          </w:p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та безоплатну передачу у власність, спільну часткову, спільну сумісну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ділянка), ведення садівництва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457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Затвердження технічної документації, надання у власність</w:t>
            </w:r>
          </w:p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надання дозволу на виготовлення 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користування, згоди на відновлення меж земельних ділянок і на передачу в суборенду земельної ділянки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458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Надання дозволу на виготовлення  технічної документації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Про надання дозволу на 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розробку проектів землеустрою щодо відведення земельних ділянок під існуючими забудовами (будівлями, спорудами)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 xml:space="preserve">№ 459 від 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 xml:space="preserve">Департамент 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E79B1">
              <w:rPr>
                <w:sz w:val="16"/>
                <w:szCs w:val="16"/>
                <w:lang w:val="uk-UA"/>
              </w:rPr>
              <w:lastRenderedPageBreak/>
              <w:t>Містобуду</w:t>
            </w:r>
            <w:r w:rsidR="005633F5">
              <w:rPr>
                <w:sz w:val="16"/>
                <w:szCs w:val="16"/>
                <w:lang w:val="uk-UA"/>
              </w:rPr>
              <w:t>-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 xml:space="preserve">Дозвіл на розробку 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проектів землеустрою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 xml:space="preserve">Рішення міської 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 xml:space="preserve">Текстовий 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Управління 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44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Про надання Акціонерному товариству «ДТЕК ДНІПРОВСЬКІ ЕЛЕКТРОМЕРЕЖІ» згоди на укладення договору суперфіцію земельної ділянки  на  вул. Ливарній, вул. Кленовій, вул.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Єрмолової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 xml:space="preserve">  під одинадцять опор ЛЕП та  підземну ділянку кабелю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460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Згода на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суперфіцій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 xml:space="preserve">, вул. Ливарній, </w:t>
            </w:r>
            <w:r w:rsidR="00D50AEA">
              <w:rPr>
                <w:sz w:val="16"/>
                <w:szCs w:val="16"/>
                <w:lang w:val="uk-UA"/>
              </w:rPr>
              <w:t xml:space="preserve">                      </w:t>
            </w:r>
            <w:bookmarkStart w:id="0" w:name="_GoBack"/>
            <w:bookmarkEnd w:id="0"/>
            <w:r w:rsidRPr="009E79B1">
              <w:rPr>
                <w:sz w:val="16"/>
                <w:szCs w:val="16"/>
                <w:lang w:val="uk-UA"/>
              </w:rPr>
              <w:t xml:space="preserve">вул. Кленовій, </w:t>
            </w:r>
            <w:r w:rsidR="005633F5">
              <w:rPr>
                <w:sz w:val="16"/>
                <w:szCs w:val="16"/>
                <w:lang w:val="uk-UA"/>
              </w:rPr>
              <w:t xml:space="preserve">                              </w:t>
            </w:r>
            <w:r w:rsidRPr="009E79B1">
              <w:rPr>
                <w:sz w:val="16"/>
                <w:szCs w:val="16"/>
                <w:lang w:val="uk-UA"/>
              </w:rPr>
              <w:t xml:space="preserve">вул.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Єрмолової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Про  надання  згоди  на  поділ земельної ділянки комунальної власності на вул.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Грицевця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>, 5ж, 3ч, 3ш та розробку технічної документації із землеустрою щодо поділу земельної ділянки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461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Згода на поділ, </w:t>
            </w:r>
            <w:r w:rsidR="005633F5">
              <w:rPr>
                <w:sz w:val="16"/>
                <w:szCs w:val="16"/>
                <w:lang w:val="uk-UA"/>
              </w:rPr>
              <w:t xml:space="preserve">                    </w:t>
            </w:r>
            <w:r w:rsidRPr="009E79B1">
              <w:rPr>
                <w:sz w:val="16"/>
                <w:szCs w:val="16"/>
                <w:lang w:val="uk-UA"/>
              </w:rPr>
              <w:t xml:space="preserve">вул.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Грицевця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>, 5ж, 3ч, 3ш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надання згоди на продаж земельної ділянки на вул. Ватутіна,72з та проведення її експертної грошової оцінки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462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 Згода на продаж, </w:t>
            </w:r>
            <w:r w:rsidR="00D50AEA">
              <w:rPr>
                <w:sz w:val="16"/>
                <w:szCs w:val="16"/>
                <w:lang w:val="uk-UA"/>
              </w:rPr>
              <w:t xml:space="preserve">                    </w:t>
            </w:r>
            <w:r w:rsidRPr="009E79B1">
              <w:rPr>
                <w:sz w:val="16"/>
                <w:szCs w:val="16"/>
                <w:lang w:val="uk-UA"/>
              </w:rPr>
              <w:t>вул. Ватутіна, 72з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Про надання згоди на розробку детального плану території для будівництва та обслуговування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автомийки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 xml:space="preserve"> самообслуговування (зі зміною цільового призначення земельної ділянки) на вул. Ватутіна, біля буд. 37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463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E79B1">
              <w:rPr>
                <w:sz w:val="16"/>
                <w:szCs w:val="16"/>
                <w:lang w:val="uk-UA"/>
              </w:rPr>
              <w:t>Містобуду</w:t>
            </w:r>
            <w:r w:rsidR="005633F5">
              <w:rPr>
                <w:sz w:val="16"/>
                <w:szCs w:val="16"/>
                <w:lang w:val="uk-UA"/>
              </w:rPr>
              <w:t>-</w:t>
            </w:r>
            <w:r w:rsidRPr="009E79B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Розробка детального плану території, </w:t>
            </w:r>
            <w:r w:rsidR="005633F5">
              <w:rPr>
                <w:sz w:val="16"/>
                <w:szCs w:val="16"/>
                <w:lang w:val="uk-UA"/>
              </w:rPr>
              <w:t xml:space="preserve">                   </w:t>
            </w:r>
            <w:r w:rsidRPr="009E79B1">
              <w:rPr>
                <w:sz w:val="16"/>
                <w:szCs w:val="16"/>
                <w:lang w:val="uk-UA"/>
              </w:rPr>
              <w:t xml:space="preserve">вул. Ватутіна, біля </w:t>
            </w:r>
            <w:r w:rsidR="005633F5">
              <w:rPr>
                <w:sz w:val="16"/>
                <w:szCs w:val="16"/>
                <w:lang w:val="uk-UA"/>
              </w:rPr>
              <w:t xml:space="preserve">                    </w:t>
            </w:r>
            <w:r w:rsidRPr="009E79B1">
              <w:rPr>
                <w:sz w:val="16"/>
                <w:szCs w:val="16"/>
                <w:lang w:val="uk-UA"/>
              </w:rPr>
              <w:t>буд. 37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надання згоди на розробку детального плану території для розміщення існуючого комплексу будівель на вул. Груні Романової, 1 в Інгулецькому районі, зі зміною цільового призначення земельної ділянки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464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E79B1">
              <w:rPr>
                <w:sz w:val="16"/>
                <w:szCs w:val="16"/>
                <w:lang w:val="uk-UA"/>
              </w:rPr>
              <w:t>Містобуду</w:t>
            </w:r>
            <w:r w:rsidR="005633F5">
              <w:rPr>
                <w:sz w:val="16"/>
                <w:szCs w:val="16"/>
                <w:lang w:val="uk-UA"/>
              </w:rPr>
              <w:t>-</w:t>
            </w:r>
            <w:r w:rsidRPr="009E79B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Розробка детального плану території, вул. Груні Романової, 1 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надання земельних ділянок  у постійне користування для будівництва та обслуговування будівель закладів освіти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465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Надання земельних ділянок, заклади освіти 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 надання  в  оренду  земельних ділянок, на яких  розташовані будівлі або споруди, що перебувають у власності заявників (користувачів)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466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Надання в оренду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51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погодження технічної документації із землеустрою щодо поділу земельної ділянки  на пр-ті Гагаріна, 60 для розміщення будівлі Криворізької філії банку, реєстрацію права комунальної власності на сформовані внаслідок поділу земельні  ділянки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467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Погодження поділу, </w:t>
            </w:r>
            <w:r w:rsidR="005633F5">
              <w:rPr>
                <w:sz w:val="16"/>
                <w:szCs w:val="16"/>
                <w:lang w:val="uk-UA"/>
              </w:rPr>
              <w:t xml:space="preserve">                  </w:t>
            </w:r>
            <w:r w:rsidRPr="009E79B1">
              <w:rPr>
                <w:sz w:val="16"/>
                <w:szCs w:val="16"/>
                <w:lang w:val="uk-UA"/>
              </w:rPr>
              <w:t>пр-т Гагаріна, 60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погодження технічної документації із землеустрою щодо поділу земельної ділянки в Інгулецькому районі для будівництва й обслуговування житлового будинку, господарських будівель і споруд (присадибна ділянка), реєстрацію права комунальної власності на сформовану внаслідок поділу земельну ділянку на вул. Ялинковій, 5 та передачу її у власність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468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Погодження поділу, вул. Ялинкова, 5, власність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погодження технічної документації із землеустрою щодо поділу земельної ділянки в Металургійному районі для будівництва об’єкта «Самопливний каналізаційний колектор  від вул. Тбіліської до КНС-10», реєстрацію права комунальної власності на сформовані внаслідок поділу земельні  ділянки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469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Погодження поділ ділянки, Металургійний район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погодження технічної документації із землеустрою щодо поділу земельної ділянки Садівничого товариства «Альбатрос» Криворізького конструкторського бюро «Енергія», передачу  у власність сформованих унаслідок поділу земельних ділянок громадянам-його членам та реєстрацію права комунальної власності на земельну ділянку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470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Погодження поділ ділянки, Альбатрос, передача у власність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поновлення договорів оренди земельних ділянок громадянам і фізичним особам-підприємцям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471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Поновлення договорів оренди фізичним особам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Про поновлення договорів оренди земельних ділянок 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юридичним особам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№ 472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Департамент регулювання 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D50AEA" w:rsidP="00DD44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Поновлення договорів оренди ю</w:t>
            </w:r>
            <w:r w:rsidR="009E79B1" w:rsidRPr="009E79B1">
              <w:rPr>
                <w:sz w:val="16"/>
                <w:szCs w:val="16"/>
                <w:lang w:val="uk-UA"/>
              </w:rPr>
              <w:t xml:space="preserve">ридичним </w:t>
            </w:r>
            <w:r w:rsidR="009E79B1" w:rsidRPr="009E79B1">
              <w:rPr>
                <w:sz w:val="16"/>
                <w:szCs w:val="16"/>
                <w:lang w:val="uk-UA"/>
              </w:rPr>
              <w:lastRenderedPageBreak/>
              <w:t>особам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9E79B1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E79B1" w:rsidRPr="009E79B1" w:rsidTr="00672F48">
        <w:tc>
          <w:tcPr>
            <w:tcW w:w="959" w:type="dxa"/>
            <w:shd w:val="clear" w:color="auto" w:fill="auto"/>
          </w:tcPr>
          <w:p w:rsidR="009E79B1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lastRenderedPageBreak/>
              <w:t>57</w:t>
            </w:r>
          </w:p>
        </w:tc>
        <w:tc>
          <w:tcPr>
            <w:tcW w:w="2410" w:type="dxa"/>
            <w:shd w:val="clear" w:color="auto" w:fill="auto"/>
          </w:tcPr>
          <w:p w:rsidR="009E79B1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припинення права комунальної власності територіальної громади міста Кривого Рогу на земельну ділянку</w:t>
            </w:r>
          </w:p>
        </w:tc>
        <w:tc>
          <w:tcPr>
            <w:tcW w:w="125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473 від 28.04.2021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вул. Лебедєва-Кумача, 1/193, припинення права громади</w:t>
            </w:r>
          </w:p>
        </w:tc>
        <w:tc>
          <w:tcPr>
            <w:tcW w:w="13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E79B1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E79B1" w:rsidTr="00672F48">
        <w:tc>
          <w:tcPr>
            <w:tcW w:w="959" w:type="dxa"/>
            <w:shd w:val="clear" w:color="auto" w:fill="auto"/>
          </w:tcPr>
          <w:p w:rsidR="009F37F4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9F37F4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Про припинення шляхом розірвання договору оренди земельної ділянки, зареєстрованого 30.04.2020 за №36429641, затвердження технічної документації із землеустрою щодо встановлення (відновлення) меж земельних ділянок у натурі (на місцевості) та безоплатну передачу у власність земельної ділянки на вул. Свято-Миколаївській, 69б 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53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474 від 28.04.2021</w:t>
            </w:r>
          </w:p>
        </w:tc>
        <w:tc>
          <w:tcPr>
            <w:tcW w:w="1275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Затвердження, передачу у власність, вул. Свято-Миколаївська, 69б</w:t>
            </w:r>
          </w:p>
        </w:tc>
        <w:tc>
          <w:tcPr>
            <w:tcW w:w="1399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E79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9E79B1" w:rsidTr="00672F48">
        <w:tc>
          <w:tcPr>
            <w:tcW w:w="959" w:type="dxa"/>
            <w:shd w:val="clear" w:color="auto" w:fill="auto"/>
          </w:tcPr>
          <w:p w:rsidR="009F37F4" w:rsidRPr="009E79B1" w:rsidRDefault="009E79B1" w:rsidP="0024139B">
            <w:pPr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9F37F4" w:rsidRPr="009E79B1" w:rsidRDefault="009E79B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Про розгляд звернення гр.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Гамідова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Мубаріза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Сухрай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огли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№ 475 від 28.04.2021</w:t>
            </w:r>
          </w:p>
        </w:tc>
        <w:tc>
          <w:tcPr>
            <w:tcW w:w="1275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 xml:space="preserve">Розгляд звернення,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Гамідов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Мубаріза</w:t>
            </w:r>
            <w:proofErr w:type="spellEnd"/>
            <w:r w:rsidRPr="009E79B1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E79B1">
              <w:rPr>
                <w:sz w:val="16"/>
                <w:szCs w:val="16"/>
                <w:lang w:val="uk-UA"/>
              </w:rPr>
              <w:t>Сухрай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9E79B1" w:rsidRDefault="009E79B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9E79B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9E79B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9E79B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9E79B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4317AF"/>
    <w:rsid w:val="005545B8"/>
    <w:rsid w:val="005633F5"/>
    <w:rsid w:val="00650338"/>
    <w:rsid w:val="00672F48"/>
    <w:rsid w:val="0073001A"/>
    <w:rsid w:val="00927FC1"/>
    <w:rsid w:val="009E79B1"/>
    <w:rsid w:val="009F37F4"/>
    <w:rsid w:val="00A04480"/>
    <w:rsid w:val="00A62D99"/>
    <w:rsid w:val="00A83F3D"/>
    <w:rsid w:val="00BF3FBC"/>
    <w:rsid w:val="00C519D6"/>
    <w:rsid w:val="00D50AEA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16684</Words>
  <Characters>9510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2</cp:revision>
  <dcterms:created xsi:type="dcterms:W3CDTF">2021-04-29T12:43:00Z</dcterms:created>
  <dcterms:modified xsi:type="dcterms:W3CDTF">2021-04-29T12:48:00Z</dcterms:modified>
</cp:coreProperties>
</file>