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B6AE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B6AEE">
        <w:rPr>
          <w:b/>
          <w:spacing w:val="40"/>
          <w:sz w:val="16"/>
          <w:szCs w:val="16"/>
          <w:lang w:val="uk-UA"/>
        </w:rPr>
        <w:t>ПЕРЕЛІК</w:t>
      </w:r>
    </w:p>
    <w:p w:rsidR="005B6AEE" w:rsidRPr="005B6AEE" w:rsidRDefault="005B6AEE" w:rsidP="0024139B">
      <w:pPr>
        <w:jc w:val="center"/>
        <w:rPr>
          <w:b/>
          <w:sz w:val="16"/>
          <w:szCs w:val="16"/>
          <w:lang w:val="uk-UA"/>
        </w:rPr>
      </w:pPr>
      <w:r w:rsidRPr="005B6AEE">
        <w:rPr>
          <w:b/>
          <w:sz w:val="16"/>
          <w:szCs w:val="16"/>
          <w:lang w:val="uk-UA"/>
        </w:rPr>
        <w:t>рішень міської ради VIII скликання,</w:t>
      </w:r>
    </w:p>
    <w:p w:rsidR="005B6AEE" w:rsidRPr="005B6AEE" w:rsidRDefault="005B6AEE" w:rsidP="0024139B">
      <w:pPr>
        <w:jc w:val="center"/>
        <w:rPr>
          <w:b/>
          <w:sz w:val="16"/>
          <w:szCs w:val="16"/>
          <w:lang w:val="uk-UA"/>
        </w:rPr>
      </w:pPr>
      <w:r w:rsidRPr="005B6AEE">
        <w:rPr>
          <w:b/>
          <w:sz w:val="16"/>
          <w:szCs w:val="16"/>
          <w:lang w:val="uk-UA"/>
        </w:rPr>
        <w:t>внесених до протоколу пленарного засідання XXXVI сесії</w:t>
      </w:r>
    </w:p>
    <w:p w:rsidR="00927FC1" w:rsidRPr="005B6AEE" w:rsidRDefault="005B6AEE" w:rsidP="0024139B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від 24 лютого</w:t>
      </w:r>
      <w:r w:rsidRPr="005B6AEE">
        <w:rPr>
          <w:b/>
          <w:sz w:val="16"/>
          <w:szCs w:val="16"/>
          <w:lang w:val="uk-UA"/>
        </w:rPr>
        <w:t xml:space="preserve"> 2023 року</w:t>
      </w:r>
    </w:p>
    <w:p w:rsidR="0024139B" w:rsidRPr="005B6AE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B6AEE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B6AE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Га</w:t>
            </w:r>
            <w:r w:rsidR="00672F48" w:rsidRPr="005B6AE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B6AE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B6AEE" w:rsidTr="00672F48">
        <w:tc>
          <w:tcPr>
            <w:tcW w:w="959" w:type="dxa"/>
            <w:shd w:val="clear" w:color="auto" w:fill="auto"/>
          </w:tcPr>
          <w:p w:rsidR="009F37F4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1750 від 24.02.2023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Зняття з контролю, рішення ради</w:t>
            </w:r>
          </w:p>
        </w:tc>
        <w:tc>
          <w:tcPr>
            <w:tcW w:w="13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"Про бюджет Криворізької міської територіальної громади на 2023 рік"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1751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 внесення  змін до рішення  міської  ради 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1752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B6AEE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01.02.2023 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1753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звіту з виконання у 2022 році Програми створення страхового фонду документації в м. Кривому Розі на 2021-2025 роки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1754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звіту виконання Програми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30.11.2022 №1531 "Про внесення змін до рішення міської ради від 24.12.2015 №58 "Про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1755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24.12.2015 №60 "Про затвердження Програми </w:t>
            </w:r>
            <w:r w:rsidRPr="005B6AEE">
              <w:rPr>
                <w:sz w:val="16"/>
                <w:szCs w:val="16"/>
                <w:lang w:val="uk-UA"/>
              </w:rPr>
              <w:lastRenderedPageBreak/>
              <w:t>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№ 1756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Управління з питань надзвичайних </w:t>
            </w:r>
            <w:r w:rsidRPr="005B6AEE">
              <w:rPr>
                <w:sz w:val="16"/>
                <w:szCs w:val="16"/>
                <w:lang w:val="uk-UA"/>
              </w:rPr>
              <w:lastRenderedPageBreak/>
              <w:t>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5B6AEE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переліку закладів освіти міста комунальної форми власності, де буде розміщено обладнання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електросирен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та гучномовців 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1757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переліку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30.11.2022 №1534 "Про затвердження переліку природоохоронних заходів на 2023 рік, що фінансуватимуться коштом міського фонду охорони навколишнього природного середовища"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1758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Зміни, перелік природоохоронних заходів на 2023 рік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"Про затвердження Програми перспективного розвитку освіти м. Кривого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1759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Зміни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30.12.2013 №2349 "Про затвердження переліку базової мережі закладів культури міста Кривого Рогу"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1760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27.02.2019 №3509  "Про затвердження інвестиційного проекту "Підвищення енергоефективності громадських будівель у м. Кривому Розі", що реалізується в співпраці з Європейським банком реконструкції та розвитку, та визначення комунального підприємства "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" відповідальним виконавцем проекту"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1761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енергоме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та впровадження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енергозбері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B6AEE">
              <w:rPr>
                <w:sz w:val="16"/>
                <w:szCs w:val="16"/>
                <w:lang w:val="uk-UA"/>
              </w:rPr>
              <w:t>Енергоефек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тивність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Інвестиційний проєкт,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ЄБРР, зміни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</w:t>
            </w:r>
            <w:r w:rsidRPr="005B6AEE">
              <w:rPr>
                <w:sz w:val="16"/>
                <w:szCs w:val="16"/>
                <w:lang w:val="uk-UA"/>
              </w:rPr>
              <w:lastRenderedPageBreak/>
              <w:t>умовах воєнного стану станом на 01.02.2023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№ 1762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Заходи, ліквідація наслідків збройної агресії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1763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1764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звіту щодо результатів приватизації комунального  майна  у  2022 році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1765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звіту результатів приватизації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включення об'єкта комунальної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1766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включення об'єктів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"Про затвердження Програми управління комунальним майном Криворізької міської територіальної громади на 2016-2025  роки"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1767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Програма, майно, звіт, видатки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23.12.2022 №1608 "Про затвердження переліків об'єктів комунальної власності міста, що підлягають приватизації та за якими продовжується термін приватизації у 2023 році" та приватизацію об'єкта нерухомого майна за адресою: пр-т Поштовий, буд. 13, прим. 101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1768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приватизацію об'єкта нерухомого майна за адресою: вул. Героїв Маріуполя, буд. 40, прим. 45, м. Кривий Ріг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1769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приватизацію об'єкта нерухомого майна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1770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прийняття окремого майна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1771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Безоплатне прийняття, демонтовані тимчасові споруди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подальшого надання її в користування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1772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5B6AEE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Відмова в наданні дозволу на технічну документаці</w:t>
            </w:r>
            <w:r>
              <w:rPr>
                <w:sz w:val="16"/>
                <w:szCs w:val="16"/>
                <w:lang w:val="uk-UA"/>
              </w:rPr>
              <w:t>ю</w:t>
            </w:r>
            <w:r w:rsidRPr="005B6AEE">
              <w:rPr>
                <w:sz w:val="16"/>
                <w:szCs w:val="16"/>
                <w:lang w:val="uk-UA"/>
              </w:rPr>
              <w:t xml:space="preserve"> із землеустрою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відмову в наданні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1773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Відмова, надання, власність,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1774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Оренда, відмова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відмову в унесенні змін до діючого договору оренди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1775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Відмова, діючий договір оренди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діючих  договорів оренди земельних  ділянок за зверненнями землекористувачів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1776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Внесення змін до діючих  договорів оренди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внесення змін до раніше ухвалених рішень міської ради  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1777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1778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Затвердження проектів,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 передачу їх безоплатно у власність громадянам для розміщення існуючих гаражів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1779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Затвердження проекту, безоплатно, власність, гаражі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Вернадського, 272, зміну її виду цільового призначення та категорії земель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1780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Затвердження проекту, зміна цільового, 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r w:rsidRPr="005B6AEE">
              <w:rPr>
                <w:sz w:val="16"/>
                <w:szCs w:val="16"/>
                <w:lang w:val="uk-UA"/>
              </w:rPr>
              <w:t>вул. Вернадського, 272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пр-ті Гагаріна,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71а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реєстрацію права комунальної власності на неї та надання земельної ділянки в постійне користування для розміщення існуючого комплексу будівель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1781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5B6AEE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Затвердження проекту, надання в постійне користування, </w:t>
            </w:r>
            <w:r>
              <w:rPr>
                <w:sz w:val="16"/>
                <w:szCs w:val="16"/>
                <w:lang w:val="uk-UA"/>
              </w:rPr>
              <w:t xml:space="preserve">                    п</w:t>
            </w:r>
            <w:r w:rsidRPr="005B6AEE">
              <w:rPr>
                <w:sz w:val="16"/>
                <w:szCs w:val="16"/>
                <w:lang w:val="uk-UA"/>
              </w:rPr>
              <w:t xml:space="preserve">р-т Гагаріна,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71а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Магістральній,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14Б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реєстрацію права комунальної власності на неї та надання земельної ділянки в постійне користування для розміщення споруди Комунального закладу дошкільної освіти (ясла-садок) комбінованого типу №210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1782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5B6AEE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Затвердження проекту землеустрою, постійне користування, </w:t>
            </w:r>
            <w:r>
              <w:rPr>
                <w:sz w:val="16"/>
                <w:szCs w:val="16"/>
                <w:lang w:val="uk-UA"/>
              </w:rPr>
              <w:t xml:space="preserve">                    в</w:t>
            </w:r>
            <w:r w:rsidRPr="005B6AEE">
              <w:rPr>
                <w:sz w:val="16"/>
                <w:szCs w:val="16"/>
                <w:lang w:val="uk-UA"/>
              </w:rPr>
              <w:t xml:space="preserve">ул. Магістральній,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14Б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1783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Безоплатна передача, власність, присадибна ділянка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об'єднання  земельних ділянок на вул. Володимира Терещенка,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1Е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1П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реєстрацію права комунальної власності на сформовану внаслідок об'єднання земельну ділянку, припинення дії договорів оренди земельних ділянок і права комунальної власності на них та надання в оренду земельної ділянки, сформованої в результаті об'єднання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1784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Затвердження, документація, поділ, вул. Володимира Терещенка,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1Е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1П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Олександра Поля,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36а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припинення права Криворізької міської територіальної громади на неї, реєстрацію права комунальної власності на сформовані внаслідок поділу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1785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Затвердження, поділ, вул. Олександра Поля,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36а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 ділянки в натурі (на місцевості) на вул. Федора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Караманиць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41д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реєстрацію права комунальної власності на земельну ділянку та надання  її  в оренду для розміщення торгово-сервісного комплексу,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автомийки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(бокси)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1786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Ф.Караманиць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41д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- оренда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1787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B6AEE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Ф.Караманиць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41д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- оренда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надання згоди на об'єднання раніше сформованих земельних ділянок комунальної власності на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-ні Гірницькому,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40С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40Т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40У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та розробку технічної документації із землеустрою щодо їх об'єднання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1788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Надання, згода, об'єднання, </w:t>
            </w:r>
            <w:r>
              <w:rPr>
                <w:sz w:val="16"/>
                <w:szCs w:val="16"/>
                <w:lang w:val="uk-UA"/>
              </w:rPr>
              <w:t xml:space="preserve">                    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-н Гірницький,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40С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40Т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40У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надання згоди на продаж земельної ділянки комунальної власності на вул. Володимира Терещенка,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1л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та проведення її експертної грошової оцінки під об'єктом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1789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Згода на продаж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надання згоди на розроблення схеми землеустрою і техніко-економічних обґрунтувань використання та охорони земель території Криворізької міської територіальної громади, що перебуває в постійному користуванні Приватного акціонерного товариства </w:t>
            </w:r>
            <w:r w:rsidRPr="005B6AEE">
              <w:rPr>
                <w:sz w:val="16"/>
                <w:szCs w:val="16"/>
                <w:lang w:val="uk-UA"/>
              </w:rPr>
              <w:lastRenderedPageBreak/>
              <w:t>"Інгулецький гірничо-збагачувальний комбінат"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№ 1790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Розроблення схеми землеу</w:t>
            </w:r>
            <w:r>
              <w:rPr>
                <w:sz w:val="16"/>
                <w:szCs w:val="16"/>
                <w:lang w:val="uk-UA"/>
              </w:rPr>
              <w:t>с</w:t>
            </w:r>
            <w:r w:rsidRPr="005B6AEE">
              <w:rPr>
                <w:sz w:val="16"/>
                <w:szCs w:val="16"/>
                <w:lang w:val="uk-UA"/>
              </w:rPr>
              <w:t>трою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42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надання департаменту капітального будівництва Дніпропетровської обласної державної адміністрації згоди на укладення договору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суперфіцію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земельної ділянки на вул. Таїсії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Буряченко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17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1791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суперфіцію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вул. Таїсії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Буряченко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, 17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1792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Надання в оренду,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надання Комунальному підприємству "Міський тролейбус" земельної ділянки в постійне користування 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1793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Надання,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1794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1795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Поновлення, сервітут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припинення права комунальної власності Криворізької міської територіальної громади на земельну ділянку на вул. Десантній, 16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1796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Припинення права територіальної громади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припинення шляхом розірвання договору оренди земельної ділянки на вул.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Вечірньокутській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5а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та права комунальної власності Криворізької міської територіальної громади  на неї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1797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Припинення права територіальної громади, договору оренди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B6AEE" w:rsidRPr="005B6AEE" w:rsidTr="00672F48">
        <w:tc>
          <w:tcPr>
            <w:tcW w:w="959" w:type="dxa"/>
            <w:shd w:val="clear" w:color="auto" w:fill="auto"/>
          </w:tcPr>
          <w:p w:rsidR="005B6AEE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5B6AEE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внесення змін до рішення міської ради від 24.12.2019 №4329 "Про звільнення окремих категорій мешканців міста від оплати вартості деяких адміністративних послуг, що зараховується до міського бюджету"</w:t>
            </w:r>
          </w:p>
        </w:tc>
        <w:tc>
          <w:tcPr>
            <w:tcW w:w="125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1798 від 24.02.2023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5B6AEE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Надання 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5B6AEE">
              <w:rPr>
                <w:sz w:val="16"/>
                <w:szCs w:val="16"/>
                <w:lang w:val="uk-UA"/>
              </w:rPr>
              <w:t>тивних послуг</w:t>
            </w:r>
          </w:p>
        </w:tc>
        <w:tc>
          <w:tcPr>
            <w:tcW w:w="1903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Пільги при сплаті адміністративного збору</w:t>
            </w:r>
          </w:p>
        </w:tc>
        <w:tc>
          <w:tcPr>
            <w:tcW w:w="13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B6AEE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B6AEE" w:rsidTr="00672F48">
        <w:tc>
          <w:tcPr>
            <w:tcW w:w="959" w:type="dxa"/>
            <w:shd w:val="clear" w:color="auto" w:fill="auto"/>
          </w:tcPr>
          <w:p w:rsidR="009F37F4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:rsidR="009F37F4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Про розгляд електронної петиції "Перейменування вулиці на честь Героя - захисника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Мариуполя</w:t>
            </w:r>
            <w:proofErr w:type="spellEnd"/>
            <w:r w:rsidRPr="005B6AEE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1799 від 24.02.2023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 xml:space="preserve">Електронна петиція, перейменування, Михайло </w:t>
            </w:r>
            <w:proofErr w:type="spellStart"/>
            <w:r w:rsidRPr="005B6AEE">
              <w:rPr>
                <w:sz w:val="16"/>
                <w:szCs w:val="16"/>
                <w:lang w:val="uk-UA"/>
              </w:rPr>
              <w:t>Жолобов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B6AEE" w:rsidTr="00672F48">
        <w:tc>
          <w:tcPr>
            <w:tcW w:w="959" w:type="dxa"/>
            <w:shd w:val="clear" w:color="auto" w:fill="auto"/>
          </w:tcPr>
          <w:p w:rsidR="009F37F4" w:rsidRPr="005B6AEE" w:rsidRDefault="005B6AEE" w:rsidP="0024139B">
            <w:pPr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9F37F4" w:rsidRPr="005B6AEE" w:rsidRDefault="005B6A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Про розгляд електронної петиції "Вшанування пам'яті героя російсько-української війни Стельмаха Дмитра Миколайовича"</w:t>
            </w:r>
          </w:p>
        </w:tc>
        <w:tc>
          <w:tcPr>
            <w:tcW w:w="125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№ 1800 від 24.02.2023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Електронна петиція, вшанування, перейменування, Дмитро Стельмах</w:t>
            </w:r>
          </w:p>
        </w:tc>
        <w:tc>
          <w:tcPr>
            <w:tcW w:w="13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B6AEE" w:rsidRDefault="005B6A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B6A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B6A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B6AE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B6AE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B6AEE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5262F"/>
  <w15:chartTrackingRefBased/>
  <w15:docId w15:val="{B450FA4A-FD17-460A-B6C3-0457306C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2023-02-28T07:02:00Z</dcterms:created>
  <dcterms:modified xsi:type="dcterms:W3CDTF">2023-02-28T07:13:00Z</dcterms:modified>
</cp:coreProperties>
</file>