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34F3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34F3E">
        <w:rPr>
          <w:b/>
          <w:spacing w:val="40"/>
          <w:sz w:val="16"/>
          <w:szCs w:val="16"/>
          <w:lang w:val="uk-UA"/>
        </w:rPr>
        <w:t>ПЕРЕЛІК</w:t>
      </w:r>
    </w:p>
    <w:p w:rsidR="00DF47BE" w:rsidRPr="00D34F3E" w:rsidRDefault="00DF47BE" w:rsidP="0024139B">
      <w:pPr>
        <w:jc w:val="center"/>
        <w:rPr>
          <w:b/>
          <w:sz w:val="16"/>
          <w:szCs w:val="16"/>
          <w:lang w:val="uk-UA"/>
        </w:rPr>
      </w:pPr>
      <w:r w:rsidRPr="00D34F3E">
        <w:rPr>
          <w:b/>
          <w:sz w:val="16"/>
          <w:szCs w:val="16"/>
          <w:lang w:val="uk-UA"/>
        </w:rPr>
        <w:t>рішень міської ради VIII скликання,</w:t>
      </w:r>
    </w:p>
    <w:p w:rsidR="00DF47BE" w:rsidRPr="00D34F3E" w:rsidRDefault="00DF47BE" w:rsidP="0024139B">
      <w:pPr>
        <w:jc w:val="center"/>
        <w:rPr>
          <w:b/>
          <w:sz w:val="16"/>
          <w:szCs w:val="16"/>
          <w:lang w:val="uk-UA"/>
        </w:rPr>
      </w:pPr>
      <w:r w:rsidRPr="00D34F3E">
        <w:rPr>
          <w:b/>
          <w:sz w:val="16"/>
          <w:szCs w:val="16"/>
          <w:lang w:val="uk-UA"/>
        </w:rPr>
        <w:t xml:space="preserve">внесених до протоколу пленарного засідання XXI </w:t>
      </w:r>
      <w:r w:rsidR="00D34F3E" w:rsidRPr="00D34F3E">
        <w:rPr>
          <w:b/>
          <w:sz w:val="16"/>
          <w:szCs w:val="16"/>
          <w:lang w:val="uk-UA"/>
        </w:rPr>
        <w:t>сесії</w:t>
      </w:r>
    </w:p>
    <w:p w:rsidR="00927FC1" w:rsidRPr="00D34F3E" w:rsidRDefault="00DF47BE" w:rsidP="0024139B">
      <w:pPr>
        <w:jc w:val="center"/>
        <w:rPr>
          <w:b/>
          <w:sz w:val="16"/>
          <w:szCs w:val="16"/>
          <w:lang w:val="uk-UA"/>
        </w:rPr>
      </w:pPr>
      <w:r w:rsidRPr="00D34F3E">
        <w:rPr>
          <w:b/>
          <w:sz w:val="16"/>
          <w:szCs w:val="16"/>
          <w:lang w:val="uk-UA"/>
        </w:rPr>
        <w:t xml:space="preserve">від 26 </w:t>
      </w:r>
      <w:r w:rsidR="00D34F3E">
        <w:rPr>
          <w:b/>
          <w:sz w:val="16"/>
          <w:szCs w:val="16"/>
          <w:lang w:val="uk-UA"/>
        </w:rPr>
        <w:t>січня</w:t>
      </w:r>
      <w:r w:rsidRPr="00D34F3E">
        <w:rPr>
          <w:b/>
          <w:sz w:val="16"/>
          <w:szCs w:val="16"/>
          <w:lang w:val="uk-UA"/>
        </w:rPr>
        <w:t xml:space="preserve"> 2022 року</w:t>
      </w:r>
    </w:p>
    <w:p w:rsidR="0024139B" w:rsidRPr="00D34F3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34F3E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34F3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Га</w:t>
            </w:r>
            <w:r w:rsidR="00672F48" w:rsidRPr="00D34F3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34F3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34F3E" w:rsidTr="00672F48">
        <w:tc>
          <w:tcPr>
            <w:tcW w:w="959" w:type="dxa"/>
            <w:shd w:val="clear" w:color="auto" w:fill="auto"/>
          </w:tcPr>
          <w:p w:rsidR="009F37F4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1062 від 26.01.2022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Зняття з контролю, рішення ради</w:t>
            </w:r>
          </w:p>
        </w:tc>
        <w:tc>
          <w:tcPr>
            <w:tcW w:w="13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щодо виконання бюджету Криворізької міської територіальної громади за 2021 рік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Показники міського бюджету за 2021 рік, звіт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«Про бюджет Криворізької міської територіальної громади на 2022 рік»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управління охорони здоров’я виконкому Криворізької міської ради про використання коштів резервного фонду бюджету Криворізької міської територіальної громади станом на 31.12.2021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 міжгалузевої комплексної програми «Здоров’я нації» у м. Кривому Розі на 2017-2024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з виконання заходів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 з виконання  у  2021 році   заходів міської комплексної програми  «СТОП - інфаркт» на 2016-2024 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з виконання заходів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звітів з виконання у 2021 році заходів Програми сприяння розвитку місцевого самоврядування в м. Кривому Розі на 2017-2022 роки та використання коштів бюджету Криворізької міської територіальної громади для фінансування її напрямів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самовря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Програма, звіт, 2021 рік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«Про обсяг і межі повноважень районних у місті рад та їх виконавчих органів»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1069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самовря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Обсяг і межі повноважень районних у місті рад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соціального захисту окремих категорій мешканців м. Кривого Рогу на 2017-2022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Звіт, виконання у 2021 році Програми соціального захисту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комплексної програми підтримки у 2017-2022 роках у м. Кривому Розі учасників антитерористичної операції на сході України та операції об’єднаних сил у Донецькій і Луганській областях, членів їх сімей і сімей загиблих у ході їх проведення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2021, Комплексна програма 2017-2022 роки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компенсації пільгового проїзду окремих категорій громадян на залізничному пасажирському транспорті приміського сполучення на 2021-2024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за 2021 рік, безоплатний проїзд, залізничний транспорт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 Рогу  на  2017-2022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розвитку Центру адміністративних послуг «Віза» («Центр Дії») виконкому Криворізької міської ради на 2019-2024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Центр адміністративних послуг "Віза"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31.03.2016 №380 «Про розмежування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Повноваження органів місцевого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самовря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Реєстрація місця проживання громадян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24.02.2016 №308 «Про затвердження Положення про Центр адміністративних послуг «Віза» («Центр Дії») виконкому Криворізької міської ради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Режим роботи Центру "Віза"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«Про затвердження Переліку адміністративних, інших публічних послуг, що надаються через Центр адміністративних послуг «Віза» («Центр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Адміністра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сприяння розвитку малого та середнього підприємництва в м. Кривому Розі на 2017-2024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підприєм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Підприєм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ництво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виконання у 2021 році Програми розвитку підприємництва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розвит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-ку промислового туризму в місті Кривому Розі на 2016?2024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1079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Міська програма, промисловий туризм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залучення інвестицій та розвитку міжнародної співпраці в  м. Кривому Розі на 2016 - 2024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звіту з виконання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перспективного розвитку освіти м. Кривого Рогу на 2019-2024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з виконання у 2021 році заходів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фінансової підтримки комунальних засобів масової інформації та комунальних підприємств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видавничо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-поліграфічної сфери міста на 2013-2025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Програми фінансової підтримки ЗМІ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розвитку культури та мистецтва в місті Кривому Розі на 2015-2024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Програми розвитку культури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 Програми розвитку фізичної культури і спорту в м. Кривому Розі на 2019 - 2023 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Реалізація розвитку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реалізації державної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та місцевої політики поліпшення становища дітей, молоді, жінок і сім’ї у м. Кривому Розі на 2017-2022 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1085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у справах сім'ї,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молоді та спорту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Реалізація державної та сімейної політики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захисту прав дітей та розвитку сімейних форм виховання в м. Кривому Розі на 2016-2022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Програма захисту прав дітей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інформатизації та цифрової трансформації на 2017-2024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Програми інформатизації за 2021 рік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кошторису видатків цільового фонду від плати за тимчасове використання місць розташування об’єктів зовнішньої реклами на 2021 рік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Кошторис видатків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 з виконання кошторису видатків цільового фонду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2016-2023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1089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енергоме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та впровадження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енергозбері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Енергоефек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тивність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Енергоефективність, відшкодування,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ОСББ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підвищення енергоефективності громадських будівель у  м. Кривому Розі, що реалізується в співпраці з Європейським банком реконструкції та розвитку, на 2020-2033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енергоме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та впровадження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енергозбері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Енерго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ефективність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Енергоефективність, ЄБРР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громадського порядку та громадської безпеки в м. Кривому Розі на період до 2025 року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Право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звіту з виконання у 2021 році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попов-нення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та використання матеріального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резерву для запобігання, ліквідації надзвичайних ситуацій техногенного й природного характеру та їх наслідків у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1092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з питань надзвичайних ситуацій та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 розвитку  системи  цивільного захисту в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розвитку підприємств міського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електро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- та автотранспорту на 2016-2023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телекому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фінансової підтримки та розвитку Комунального підприємства «Міжнародний аеропорт Кривий Ріг» Криворізької міської ради на 2019-2023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телекому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24.12.2015 №66 «Про затвердження Програми розвитку підприємств міського електротранспорту на 2016 - 2023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телекому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26.12.2018 №3313 «Про затвердження Програми фінансової підтримки та розвитку Комунального підприємства «Міжнародний аеропорт Кривий Ріг» Криворізької міської ради на 2019-2023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телекому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поводження з безпритульними тваринами та регулювання їх чисельності в м. Кривому Розі на період 2020-2024 років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ктури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роз-витку та утримання об’єктів (елементів) благоустрою м. Кривого Рогу на період 2017-2022 років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1099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39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розвитку та безпеки дорожнього руху в місті Кривому Розі на період 2013-2023 років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Запобігання дорожньому травматизму, посилення безпеки дорожнього руху, покращення стану автодоріг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розвитку та утримання житлово-комунального господарства міста на період 2017-2022 років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«Теплий Дім» щодо виконання заходів з енергозбереження в багато-квартирних будинках для їх співвласників у м. Кривому Розі на 2012-2026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підтримки об’єднань співвласників багатоквартирного будинку в м. Кривому Розі на 2017-2022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формування комплексного підходу до благоустрою території районів міста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Комплексний підхід до благоустрою міста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капітального будівництва об’єктів інфраструктури м. Кривого Рогу на 2019 - 2024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до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2019 - 2021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встановлення розміру кошторисної заробітної плати для звичайних умов будівництва, який ураховується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коштом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бюджету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1107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розмір кошторисної заробітної плати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Програми управління комунальним майном Криворізької міської територіальної громади на 2016-2025 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Програма, управління, майно, видатки, звіт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«Про затвердження Програми управління комунальним майном Криворізької міської територіальної громади  на 2016 - 2025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1109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Програма, управління, майно, видатки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24.11.2021 №954 «Про надання згоди на безоплатне прийняття ноутбуків для комунальних закладів загальної середньої освіти зі спільної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влас-ності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територіальних громад сіл, селищ, міст Дніпропетровської області до комунальної власності Криворізької міської територіальної громади»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Зміни, безоплатне прийняття ноутбуків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додаткової умови оренди окремого індивідуально визначеного майна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додаткових умов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додаткових умов оренди об’єктів нерухомого майна за адресами: вул. Тесленка, 12, вул. Едуарда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Фукса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27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додаткових умов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переліків об'єктів комунальної власності міста,  що підлягають приватизації та за якими продовжується термін приватизації  у 2022 році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Переліки, що підлягають приватизації у 2022 році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«Міський тролейбус»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Збільшення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об’єкта нерухомого майна за адресою: вул. Свято-Миколаївська, буд. 57, прим. 11,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 xml:space="preserve">вул.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Салтиківська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буд. 9, прим. 61,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1116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об’єкта нерухомого майна за адресою: вул. Обнорського, буд. 82, прим. 23,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вул.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Щегловського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буд. 2, прим. 12,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об’єкта нерухомого майна за адресою: пр-т Гагаріна, буд. 50, прим. 79,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1119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вул. Курганська, буд.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1В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  міської  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розвит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-ку земельних відносин у м. Кривому Розі на 2016-2025 роки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Звіт, Програма розвитку земельних відносин, 2016-2025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звіту з виконання у 2021 році міської програми містобудівної діяльності та створення геоінформаційної електронної містобудівної кадастрової системи м. Кривий Ріг на 2004-2025 рр.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proofErr w:type="spellEnd"/>
            <w:r w:rsidR="00051667">
              <w:rPr>
                <w:sz w:val="16"/>
                <w:szCs w:val="16"/>
                <w:lang w:val="uk-UA"/>
              </w:rPr>
              <w:t>--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Звіт,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геоінформаційна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електронна система, 2004-2025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затвердженні детальних планів територій та наданні дозволів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 в затвердженні детальних планів території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затвердженні технічної документації щодо поділу земельних ділянок у Садівничому товаристві «Альбатрос» Криворізького конструкторського бюро «Енергія» та в передачі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 в передачі у власність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звернення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дмова, адміністративна послуга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66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межах безоплатної приватизації, 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дмова, надання дозволів, проекти землеустрою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 та відповідної  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дмова, надання дозволів, адміністративна послуга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відмову в наданні згоди на подальше користування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части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-нами земельних ділянок, на які поширюється право сервітуту, під тимчасовими спорудами для здійснення підприємницької діяльності та припинення права комунальної власності на них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1129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дмова, сервітут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наданні (оренда)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передачі у власність 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Відмова, власність,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відмову в передачі у власність земельних ділянок Садівничого товариства «БУДІВЕЛЬНИК-2»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Відмова, власність, Садівниче товариство "БУДІВЕЛЬНИК-2"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F05FD5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відмову Акціонерному товариству «Оператор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газороз</w:t>
            </w:r>
            <w:proofErr w:type="spellEnd"/>
            <w:r w:rsidR="00F05FD5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подільної системи «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Криворіж</w:t>
            </w:r>
            <w:proofErr w:type="spellEnd"/>
            <w:r w:rsidR="00F05FD5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газ» в унесенні змін до рішення міської ради від 24.02.2021 №343 «Про надання згоди на розробку детального плану території»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Відмова, унесення змін, рішення від 24.02.2021 №343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74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у частині зміни їх орендарів шляхом укладення додаткових угод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Внесення змін до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 в частині зміни орендаря та відмову в його поновленні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Внесення змін, договір оренди, відмова, поновлення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Внесення змін до раніше ухвалених рішень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24.12.2015 №87 «Про затвердження Програми розвитку земельних відносин у        м. Кривому Розі на 2016-2025 роки»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Внесення змін, рішення ради, №87 від 24.12.2015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F05FD5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внесення змін до рішення  міської ради від 28.11.2018 №3252 «Про надання згоди управлінню капітального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будів</w:t>
            </w:r>
            <w:r w:rsidR="00F05FD5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ництва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виконкому Криворізької міської ради на укладення договору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суперфіцію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земельної ділянки на вул. Дружби, 2» та договору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суперфіцію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1139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Зміни, рішення від 28.11.2018 №3252, договір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суперфіцію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26.05.2021 №506 «Про встановлення ставок плати за землю та пільг із земельного податку на території м. Кривого Рогу»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Внесення змін, рішення, №506, 26.05.2021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31.08.2021 №738 «Про визначення умов продажу прав на користування земельною ділянкою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комуналь</w:t>
            </w:r>
            <w:r w:rsidR="00F05FD5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власності міста, що виставляється на земельні торги»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Внесення змін, рішення від 31.08.2021 №738 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детальних планів, зміна цільового призначення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земель-них ділянок та реєстрацію права комунальної власності на них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проектів, реєстрація права комунальної власності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Проект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Проект землеустрою,</w:t>
            </w:r>
            <w:r w:rsidR="00051667">
              <w:rPr>
                <w:sz w:val="16"/>
                <w:szCs w:val="16"/>
                <w:lang w:val="uk-UA"/>
              </w:rPr>
              <w:t xml:space="preserve"> </w:t>
            </w:r>
            <w:r w:rsidRPr="00D34F3E">
              <w:rPr>
                <w:sz w:val="16"/>
                <w:szCs w:val="16"/>
                <w:lang w:val="uk-UA"/>
              </w:rPr>
              <w:t>оренда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них та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проектів землеустрою, згода, сервітут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051667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 на території Покровського, Саксаганського районів для будівництва водогону з шахти «Гігант-Глибока» до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шламосховища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Приватного акціонерного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това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риства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«Центральний гірничо-збагачувальний комбінат» у межах  м. Кривого Рогу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051667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Затвердження, будівництво водогону, шахта "Г</w:t>
            </w:r>
            <w:r w:rsidR="00051667">
              <w:rPr>
                <w:sz w:val="16"/>
                <w:szCs w:val="16"/>
                <w:lang w:val="uk-UA"/>
              </w:rPr>
              <w:t>і</w:t>
            </w:r>
            <w:r w:rsidRPr="00D34F3E">
              <w:rPr>
                <w:sz w:val="16"/>
                <w:szCs w:val="16"/>
                <w:lang w:val="uk-UA"/>
              </w:rPr>
              <w:t>гант-Глибока"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земель-них ділянок на вул. Бикова,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12б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для розміщення гаражів №№1, 2, 5, та боксу №8 Криворізького міськрайонного центру зайнятості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Затвердження проекту, вул. Бикова,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12б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гараж, бокс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віднов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лення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1149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віднов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лення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) меж земельних ділянок у натурі (на місцевості) та безоплатну передачу у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власність, спільну часткову власність земельних ділянок, що перебувають у користуванні громадян, для будівництва та обслуговування житлового будинку, господарських буді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вель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1150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Затвердження, технічна документація, власність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віднов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лення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) меж земельних ділянок в натурі (на місцевості) Садівничому товариству «Зірка»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Затвердження технічної документації із землеустрою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об'єднання земельних ділянок на вул. Ватутіна,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70а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вул. Ватутіна,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70б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припинення договорів оренди земельних ділянок, реєстрацію права комунальної власності на сформовану внаслідок об'єднання земельну ділянку й надання в оренду земельної ділянки для розміщення будівлі магазину продовольчих та непродовольчих товарів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Затвердження документації, об'єднання, </w:t>
            </w:r>
            <w:r w:rsidR="00051667">
              <w:rPr>
                <w:sz w:val="16"/>
                <w:szCs w:val="16"/>
                <w:lang w:val="uk-UA"/>
              </w:rPr>
              <w:t xml:space="preserve">                        </w:t>
            </w:r>
            <w:r w:rsidRPr="00D34F3E">
              <w:rPr>
                <w:sz w:val="16"/>
                <w:szCs w:val="16"/>
                <w:lang w:val="uk-UA"/>
              </w:rPr>
              <w:t xml:space="preserve">вул. Ватутіна,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70а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70б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051667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об'єднання земельних ділянок на вул. Соборності,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49г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припинення договорів оренди земельних ділянок, реєстрацію права комунальної власності на сформовану внаслідок об'єднання земельну ділянку й надання в оренду земельної ділянки для розміщення будівлі магазину продовольчих та непродовольчих товарів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Затвердження документації, об'єднання, </w:t>
            </w:r>
            <w:r w:rsidR="00051667">
              <w:rPr>
                <w:sz w:val="16"/>
                <w:szCs w:val="16"/>
                <w:lang w:val="uk-UA"/>
              </w:rPr>
              <w:t xml:space="preserve">                              </w:t>
            </w:r>
            <w:r w:rsidRPr="00D34F3E">
              <w:rPr>
                <w:sz w:val="16"/>
                <w:szCs w:val="16"/>
                <w:lang w:val="uk-UA"/>
              </w:rPr>
              <w:t>вул.</w:t>
            </w:r>
            <w:r w:rsidR="00051667">
              <w:rPr>
                <w:sz w:val="16"/>
                <w:szCs w:val="16"/>
                <w:lang w:val="uk-UA"/>
              </w:rPr>
              <w:t xml:space="preserve"> </w:t>
            </w:r>
            <w:r w:rsidRPr="00D34F3E">
              <w:rPr>
                <w:sz w:val="16"/>
                <w:szCs w:val="16"/>
                <w:lang w:val="uk-UA"/>
              </w:rPr>
              <w:t xml:space="preserve">Соборності,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49г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051667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дозволу на виготовлення технічної доку</w:t>
            </w:r>
            <w:r w:rsidR="006B0577"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D34F3E">
              <w:rPr>
                <w:sz w:val="16"/>
                <w:szCs w:val="16"/>
                <w:lang w:val="uk-UA"/>
              </w:rPr>
              <w:t>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Дозвіл, технічна документація, відновлення меж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надання дозволу Акціонерному товариству «ДТЕК ДНІПРОВСЬКІ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ЕЛЕКТРОМЕРЕЖІ»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1155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Надання дозволу, розробка проекту,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ДНІПРОВСЬКІ ЕЛЕКТРОМЕРЕЖІ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95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Дозвіл на розробку проекту, безоплатна приватизація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Розробка проектів землеустрою, відведення ділянок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надання згоди на об’єднання земельних ділянок на вул. Петра Калнишевського,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2а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4г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4г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4д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Згода на об'єднання, вул. Петра Калнишевського,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2а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4г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4г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4д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051667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згоди на подальше користування частинами земель-них ділянок, на які поширюється право сервітуту, під тимчасовими спорудами для здійснення підприємницької діяльності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1159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Поновлення, сервітут, стара назва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Згода на поділ, розробка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власності на пр-ті 200-річчя Кривого Рогу,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12б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Надання згоди на поділ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згоди на розробку детального плану території для реконструкції комплексу під магазин з вбудованими офісними приміщеннями (зі зміною цільового призначення земельної ділянки)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Містобуду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Згода, розробка детального плану, офісні приміщення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103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Поновлення (подовження)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104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051667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земель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ною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1165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Поновлення,</w:t>
            </w:r>
            <w:r w:rsidR="00051667">
              <w:rPr>
                <w:sz w:val="16"/>
                <w:szCs w:val="16"/>
                <w:lang w:val="uk-UA"/>
              </w:rPr>
              <w:t xml:space="preserve"> </w:t>
            </w:r>
            <w:r w:rsidRPr="00D34F3E">
              <w:rPr>
                <w:sz w:val="16"/>
                <w:szCs w:val="16"/>
                <w:lang w:val="uk-UA"/>
              </w:rPr>
              <w:t>сервітут, нова назва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права постійного користування та комунальної власності Криворізької міської територіальної громади на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1166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Припинення договору, скасування права громадян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106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припинення шляхом розірвання договору оренди земельної ділянки й затвердження проекту землеустрою щодо відведення земельної ділянки на вул. Співдружності,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5а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зміну категорії земель,  цільового призначення та виду використання земельної ділянки й надання її в оренду для реконструкції комплексу будівель та споруд (спортивний комплекс) під торговельний комплекс (магазини першої необхідності)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1167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Затвердження проекту, вул. Співдружності,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5а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>, торговельний комплекс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107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розгляд електронної петиції "Петиція про заборону підвищення вартості проїзду в маршрутних таксі" 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1168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телекому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Петиція, вартість проїзду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108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 "Виділити кошти з міського бюджету на операцію дитини ПОЛІНИ СПІВАК"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1169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Матеріальна допомога на лікування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109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включення об'єктів комунальної власності Криворізької міської територіальної громади, які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1170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включення об'єктів комунальної власності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110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27.01.2016 №209 "Про затвердження Програми громадського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№ 1171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правоохо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</w:t>
            </w:r>
            <w:r w:rsidRPr="00D34F3E">
              <w:rPr>
                <w:sz w:val="16"/>
                <w:szCs w:val="16"/>
                <w:lang w:val="uk-UA"/>
              </w:rPr>
              <w:lastRenderedPageBreak/>
              <w:t>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Право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lastRenderedPageBreak/>
              <w:t>111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 "реорганізація Криворізької гімназії 33"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1172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Електронна петиція, реорганізація КГ №33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112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електронну петицію "Встановити автомати для збирання пластикових пляшок"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1173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електронну петицію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7BE" w:rsidRPr="00D34F3E" w:rsidTr="00672F48">
        <w:tc>
          <w:tcPr>
            <w:tcW w:w="959" w:type="dxa"/>
            <w:shd w:val="clear" w:color="auto" w:fill="auto"/>
          </w:tcPr>
          <w:p w:rsidR="00DF47BE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113</w:t>
            </w:r>
          </w:p>
        </w:tc>
        <w:tc>
          <w:tcPr>
            <w:tcW w:w="2410" w:type="dxa"/>
            <w:shd w:val="clear" w:color="auto" w:fill="auto"/>
          </w:tcPr>
          <w:p w:rsidR="00DF47BE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 "Надати фінансову допомогу на лікування 6-річної Софійки з Кривого Рогу"</w:t>
            </w:r>
          </w:p>
        </w:tc>
        <w:tc>
          <w:tcPr>
            <w:tcW w:w="125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1174 від 26.01.2022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Матеріальна допомога на лікування</w:t>
            </w:r>
          </w:p>
        </w:tc>
        <w:tc>
          <w:tcPr>
            <w:tcW w:w="13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7BE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34F3E" w:rsidTr="00672F48">
        <w:tc>
          <w:tcPr>
            <w:tcW w:w="959" w:type="dxa"/>
            <w:shd w:val="clear" w:color="auto" w:fill="auto"/>
          </w:tcPr>
          <w:p w:rsidR="009F37F4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114</w:t>
            </w:r>
          </w:p>
        </w:tc>
        <w:tc>
          <w:tcPr>
            <w:tcW w:w="2410" w:type="dxa"/>
            <w:shd w:val="clear" w:color="auto" w:fill="auto"/>
          </w:tcPr>
          <w:p w:rsidR="009F37F4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 "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Остановить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рост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цен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товары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и услуги,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снизить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для ФОП"</w:t>
            </w:r>
          </w:p>
        </w:tc>
        <w:tc>
          <w:tcPr>
            <w:tcW w:w="125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1175 від 26.01.2022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підприєм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34F3E">
              <w:rPr>
                <w:sz w:val="16"/>
                <w:szCs w:val="16"/>
                <w:lang w:val="uk-UA"/>
              </w:rPr>
              <w:t>Підприєм</w:t>
            </w:r>
            <w:r w:rsidR="00051667">
              <w:rPr>
                <w:sz w:val="16"/>
                <w:szCs w:val="16"/>
                <w:lang w:val="uk-UA"/>
              </w:rPr>
              <w:t>-</w:t>
            </w:r>
            <w:r w:rsidRPr="00D34F3E">
              <w:rPr>
                <w:sz w:val="16"/>
                <w:szCs w:val="16"/>
                <w:lang w:val="uk-UA"/>
              </w:rPr>
              <w:t>ництво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34F3E" w:rsidTr="00672F48">
        <w:tc>
          <w:tcPr>
            <w:tcW w:w="959" w:type="dxa"/>
            <w:shd w:val="clear" w:color="auto" w:fill="auto"/>
          </w:tcPr>
          <w:p w:rsidR="009F37F4" w:rsidRPr="00D34F3E" w:rsidRDefault="00DF47BE" w:rsidP="0024139B">
            <w:pPr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115</w:t>
            </w:r>
          </w:p>
        </w:tc>
        <w:tc>
          <w:tcPr>
            <w:tcW w:w="2410" w:type="dxa"/>
            <w:shd w:val="clear" w:color="auto" w:fill="auto"/>
          </w:tcPr>
          <w:p w:rsidR="009F37F4" w:rsidRPr="00D34F3E" w:rsidRDefault="00DF47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 "</w:t>
            </w:r>
            <w:proofErr w:type="spellStart"/>
            <w:r w:rsidRPr="00D34F3E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D34F3E">
              <w:rPr>
                <w:sz w:val="16"/>
                <w:szCs w:val="16"/>
                <w:lang w:val="uk-UA"/>
              </w:rPr>
              <w:t xml:space="preserve"> на тепло для ФОП"</w:t>
            </w:r>
          </w:p>
        </w:tc>
        <w:tc>
          <w:tcPr>
            <w:tcW w:w="125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№ 1176 від 26.01.2022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34F3E" w:rsidRDefault="00DF47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34F3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34F3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34F3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34F3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51667"/>
    <w:rsid w:val="000A6423"/>
    <w:rsid w:val="0024139B"/>
    <w:rsid w:val="004317AF"/>
    <w:rsid w:val="005545B8"/>
    <w:rsid w:val="00650338"/>
    <w:rsid w:val="00672F48"/>
    <w:rsid w:val="006B0577"/>
    <w:rsid w:val="0073001A"/>
    <w:rsid w:val="00927FC1"/>
    <w:rsid w:val="009F37F4"/>
    <w:rsid w:val="00A04480"/>
    <w:rsid w:val="00A62D99"/>
    <w:rsid w:val="00A83F3D"/>
    <w:rsid w:val="00BF3FBC"/>
    <w:rsid w:val="00C519D6"/>
    <w:rsid w:val="00D34F3E"/>
    <w:rsid w:val="00DD4404"/>
    <w:rsid w:val="00DF47BE"/>
    <w:rsid w:val="00F05FD5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CD69"/>
  <w15:chartTrackingRefBased/>
  <w15:docId w15:val="{4C93F24D-B140-423D-A337-CAAD346E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8</cp:revision>
  <dcterms:created xsi:type="dcterms:W3CDTF">2022-01-28T14:14:00Z</dcterms:created>
  <dcterms:modified xsi:type="dcterms:W3CDTF">2022-01-31T06:19:00Z</dcterms:modified>
</cp:coreProperties>
</file>