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6F" w:rsidRDefault="00135EDE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7D5F6F" w:rsidRDefault="00135EDE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7D5F6F" w:rsidRDefault="007D5F6F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№10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25 червня 2021 року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Антоневський В.Ю.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головуючий,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заступник голови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Яровий Ю.Б. – голова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F" w:rsidRDefault="00135EDE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Катриченко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 – заступник міського голови,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Карий І.О. – директор департаменту розвитку інфраструктури міста виконкому  Криворізької міської ради, Богословський А.В.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начальника управління транспорту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Ничипоров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А.О. – начальник інспекції з благоустрою Криворізької міської ради, Лугова О.В. – начальник відділу пільг, житлових субсидій та компенсаційних виплат департаменту соціальної політики виконкому Криворізької міської ради,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Зельцер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Д.Ю. – заступник начальника управління капітального будівництва виконкому Криворізької міської ради, Кириленко А.С.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директор </w:t>
      </w:r>
      <w:r>
        <w:rPr>
          <w:rFonts w:ascii="Times New Roman" w:eastAsia="Times New Roman" w:hAnsi="Times New Roman" w:cs="Times New Roman"/>
          <w:sz w:val="28"/>
          <w:szCs w:val="28"/>
        </w:rPr>
        <w:t>КП “Центр поводження з тваринами”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Божко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Р.В. - директор КП “Міський трамвай”,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депутати міської ради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Скворцов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Д.В., Шишка Н.В.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депутати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Саксаганської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районної</w:t>
      </w:r>
      <w:r w:rsidR="00E5626C">
        <w:rPr>
          <w:rFonts w:ascii="Times New Roman" w:eastAsia="Times New Roman" w:hAnsi="Times New Roman" w:cs="Times New Roman"/>
          <w:sz w:val="28"/>
          <w:szCs w:val="28"/>
        </w:rPr>
        <w:t xml:space="preserve"> у місті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26C">
        <w:rPr>
          <w:rFonts w:ascii="Times New Roman" w:eastAsia="Times New Roman" w:hAnsi="Times New Roman" w:cs="Times New Roman"/>
          <w:sz w:val="28"/>
          <w:szCs w:val="28"/>
        </w:rPr>
        <w:t xml:space="preserve">ради –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Грибуцький</w:t>
      </w:r>
      <w:proofErr w:type="spellEnd"/>
      <w:r w:rsidR="00E5626C">
        <w:rPr>
          <w:rFonts w:ascii="Times New Roman" w:eastAsia="Times New Roman" w:hAnsi="Times New Roman" w:cs="Times New Roman"/>
          <w:sz w:val="28"/>
          <w:szCs w:val="28"/>
        </w:rPr>
        <w:t xml:space="preserve"> Є.Ю., Кулиняк </w:t>
      </w:r>
      <w:r>
        <w:rPr>
          <w:rFonts w:ascii="Times New Roman" w:eastAsia="Times New Roman" w:hAnsi="Times New Roman" w:cs="Times New Roman"/>
          <w:sz w:val="28"/>
          <w:szCs w:val="28"/>
        </w:rPr>
        <w:t>М.П., Іванова А.В. – член ГО “Промінь життя”, засоби масової інформації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Криворожский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”</w:t>
      </w:r>
      <w:r w:rsidR="00E5626C">
        <w:rPr>
          <w:rFonts w:ascii="Times New Roman" w:eastAsia="Times New Roman" w:hAnsi="Times New Roman" w:cs="Times New Roman"/>
          <w:sz w:val="28"/>
          <w:szCs w:val="28"/>
        </w:rPr>
        <w:t>, «0564»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Бєлєхову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О.С.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секретаря постійної комісії, яка зауважила, що через відсутність на засіданні голови постійної комісії, є необхідність обрати головуючого та запропонувала до обрання заступника голови постійної комісії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 </w:t>
      </w: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  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Обрати головуючим на засіданні заступника голови постійної комісії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 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В.Ю.,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7D5F6F" w:rsidRDefault="007D5F6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3B76" w:rsidRDefault="00C2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23B76" w:rsidRDefault="00C23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F6F" w:rsidRDefault="00135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Черга денна</w:t>
      </w:r>
    </w:p>
    <w:p w:rsidR="00995D87" w:rsidRDefault="00995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порядку денного пленарного засідання Х сесії Криворізької міської ради VІII скликання.</w:t>
      </w:r>
    </w:p>
    <w:tbl>
      <w:tblPr>
        <w:tblStyle w:val="afff7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7D5F6F">
        <w:trPr>
          <w:trHeight w:val="331"/>
        </w:trPr>
        <w:tc>
          <w:tcPr>
            <w:tcW w:w="2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7D5F6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F6F" w:rsidRDefault="00135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ОСНОВНЕ ПИТАННЯ</w:t>
      </w:r>
    </w:p>
    <w:tbl>
      <w:tblPr>
        <w:tblStyle w:val="afff8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Програму соціального захисту окремих категорій мешканців міста Кривого Рогу – гарантію соціальної захищеності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криворіжців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Pr="00995D87" w:rsidRDefault="007D5F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</w:pPr>
    </w:p>
    <w:p w:rsidR="007D5F6F" w:rsidRDefault="00135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9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16.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надання повноважень міському голові на підписання документів, необхідних для забезпечення міською радою наданих Європейському банку реконструкції та розвитку гарантій під час виконання (реалізації) інвестиційного </w:t>
            </w:r>
            <w:proofErr w:type="spellStart"/>
            <w:r w:rsidR="00E56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проєкт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«Оновлення тролейбусного парку м. Кривий Ріг»</w:t>
            </w:r>
          </w:p>
        </w:tc>
      </w:tr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17.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1fob9te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18.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надання згоди департаменту капітального будівництва Дніпропетровської обласної державної адміністрації на проведення будівельних робіт та передачу йому функцій замовника</w:t>
            </w:r>
          </w:p>
        </w:tc>
      </w:tr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19.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формування сприятливого середовища для мешканців міста</w:t>
            </w:r>
          </w:p>
        </w:tc>
      </w:tr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22.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надання згоди на укладення договорів постачання природного газу для комунальних підприємств</w:t>
            </w:r>
          </w:p>
        </w:tc>
      </w:tr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23.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  <w:tr w:rsidR="007D5F6F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24.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впорядкування мережі комунальних підприємств, закладів, установ міста</w:t>
            </w:r>
          </w:p>
        </w:tc>
      </w:tr>
    </w:tbl>
    <w:p w:rsidR="007D5F6F" w:rsidRDefault="007D5F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Інші питання порядку денного пакетом або розглянути за пропозиціями членів постійної комісії.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Про відповідність </w:t>
      </w:r>
      <w:proofErr w:type="spellStart"/>
      <w:r w:rsidR="00E562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регуляторного акта - рішення міської ради «Про затвердження Правил благоустрою в м. Кривому Розі»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діяльності».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3. Про розгляд питання згідно плану роботи постійної комісії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І півріччя 2021 року «Специфіка функціонування КП «Центр поводження з тваринами» Криворізької міської ради, взаємодія з населенням та установами у сфері поводження з безпритульними тваринами та перспективи розвитку».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Про розгляд рекомендації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наданої на засіданні постійної комісії 22.01.2021.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Про затвердження плану роботи постійної комісії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ІІ півріччя 2021 року.</w:t>
      </w: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Різне.</w:t>
      </w:r>
    </w:p>
    <w:p w:rsidR="007D5F6F" w:rsidRDefault="007D5F6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3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7D5F6F" w:rsidRDefault="007D5F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питань порядку денного пленарного засідання Х сесії міської ради VIIІ скликання:</w:t>
      </w:r>
    </w:p>
    <w:tbl>
      <w:tblPr>
        <w:tblStyle w:val="afffa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7D5F6F">
        <w:trPr>
          <w:trHeight w:val="310"/>
        </w:trPr>
        <w:tc>
          <w:tcPr>
            <w:tcW w:w="1701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</w:p>
        </w:tc>
        <w:tc>
          <w:tcPr>
            <w:tcW w:w="7938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Програму соціального захисту окремих категорій мешканців міста Кривого Рогу – гарантію соціальної захищеності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криворіжців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23B76" w:rsidRDefault="00C23B7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Лугова О.В.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роз’ясненнями з даного питання. До обговорення долучилися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Шишка Н.В., які поцікавились подальшими перспективами розвитку соціального захисту громадян міста та підтримку проектів громадських організацій. Також Шишка Н.В. попросила надати інформацію щодо роботи будинку нічного перебування та приведення  </w:t>
      </w:r>
      <w:r w:rsidR="00995D87">
        <w:rPr>
          <w:rFonts w:ascii="Times New Roman" w:eastAsia="Times New Roman" w:hAnsi="Times New Roman" w:cs="Times New Roman"/>
          <w:color w:val="000000"/>
          <w:sz w:val="28"/>
          <w:szCs w:val="28"/>
        </w:rPr>
        <w:t>його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умов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інклюзивності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23B76" w:rsidRDefault="00C23B7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Х сесії міської ради VIIІ скликання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3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b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7D5F6F">
        <w:trPr>
          <w:trHeight w:val="310"/>
        </w:trPr>
        <w:tc>
          <w:tcPr>
            <w:tcW w:w="1809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16</w:t>
            </w:r>
          </w:p>
        </w:tc>
        <w:tc>
          <w:tcPr>
            <w:tcW w:w="7821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 надання повноважень міському голові на підписання документів, необхідних для забезпечення міською радою наданих Європейському банку реконструкції та розвитку гарантій під час виконання (реалізації) інвестиційного </w:t>
            </w:r>
            <w:proofErr w:type="spellStart"/>
            <w:r w:rsidR="00E5626C">
              <w:rPr>
                <w:rFonts w:ascii="Times New Roman" w:eastAsia="Times New Roman" w:hAnsi="Times New Roman" w:cs="Times New Roman"/>
                <w:sz w:val="28"/>
                <w:szCs w:val="28"/>
              </w:rPr>
              <w:t>проєкт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«Оновлення тролейбусного парку м. Кривий Ріг»</w:t>
            </w:r>
          </w:p>
        </w:tc>
      </w:tr>
      <w:tr w:rsidR="007D5F6F">
        <w:trPr>
          <w:trHeight w:val="310"/>
        </w:trPr>
        <w:tc>
          <w:tcPr>
            <w:tcW w:w="1809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17</w:t>
            </w:r>
          </w:p>
        </w:tc>
        <w:tc>
          <w:tcPr>
            <w:tcW w:w="7821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  <w:tr w:rsidR="007D5F6F">
        <w:trPr>
          <w:trHeight w:val="310"/>
        </w:trPr>
        <w:tc>
          <w:tcPr>
            <w:tcW w:w="1809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Питання 18</w:t>
            </w:r>
          </w:p>
        </w:tc>
        <w:tc>
          <w:tcPr>
            <w:tcW w:w="7821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згоди департаменту капітального будівництва Дніпропетровської обласної державної адміністрації на проведення будівельних робіт та передачу йому функцій замовника</w:t>
            </w: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Богославський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А.В.,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даних питань. До обговорення долучився депутат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запропонував підтримати та винести на розгляд Х сесії міської ради VIIІ скликання дані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20845"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За» –  3 – Бєлєхова 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дані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7D5F6F" w:rsidRDefault="007D5F6F"/>
    <w:tbl>
      <w:tblPr>
        <w:tblStyle w:val="afffc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7D5F6F">
        <w:trPr>
          <w:trHeight w:val="331"/>
        </w:trPr>
        <w:tc>
          <w:tcPr>
            <w:tcW w:w="1809" w:type="dxa"/>
          </w:tcPr>
          <w:p w:rsidR="007D5F6F" w:rsidRDefault="00135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19</w:t>
            </w:r>
          </w:p>
        </w:tc>
        <w:tc>
          <w:tcPr>
            <w:tcW w:w="7825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формування сприятливого середовища для мешканців міста</w:t>
            </w: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Ничипоров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А.О.,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даного питання. До обговорення долучи</w:t>
      </w:r>
      <w:r w:rsidR="00E5626C">
        <w:rPr>
          <w:rFonts w:ascii="Times New Roman" w:eastAsia="Times New Roman" w:hAnsi="Times New Roman" w:cs="Times New Roman"/>
          <w:sz w:val="28"/>
          <w:szCs w:val="28"/>
        </w:rPr>
        <w:t>лися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депутат</w:t>
      </w:r>
      <w:r w:rsidR="00E5626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Шишка</w:t>
      </w:r>
      <w:r w:rsidR="00E5626C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Н.В.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запропонував підтримати та винести на розгляд 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7D5F6F"/>
    <w:tbl>
      <w:tblPr>
        <w:tblStyle w:val="afffd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7D5F6F">
        <w:trPr>
          <w:trHeight w:val="331"/>
        </w:trPr>
        <w:tc>
          <w:tcPr>
            <w:tcW w:w="1809" w:type="dxa"/>
          </w:tcPr>
          <w:p w:rsidR="007D5F6F" w:rsidRDefault="00135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22</w:t>
            </w:r>
          </w:p>
        </w:tc>
        <w:tc>
          <w:tcPr>
            <w:tcW w:w="7825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надання згоди на укладення договорів постачання природного газу для комунальних підприємств</w:t>
            </w: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Карий І.О.,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До обговорення долучився депутат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Шишка Н.В.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7D5F6F"/>
    <w:tbl>
      <w:tblPr>
        <w:tblStyle w:val="a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7D5F6F">
        <w:trPr>
          <w:trHeight w:val="331"/>
        </w:trPr>
        <w:tc>
          <w:tcPr>
            <w:tcW w:w="1809" w:type="dxa"/>
          </w:tcPr>
          <w:p w:rsidR="007D5F6F" w:rsidRDefault="00135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23</w:t>
            </w:r>
          </w:p>
        </w:tc>
        <w:tc>
          <w:tcPr>
            <w:tcW w:w="7825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Зельцер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Д.Ю.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даного питання.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7D5F6F"/>
    <w:tbl>
      <w:tblPr>
        <w:tblStyle w:val="affff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7D5F6F">
        <w:trPr>
          <w:trHeight w:val="331"/>
        </w:trPr>
        <w:tc>
          <w:tcPr>
            <w:tcW w:w="1809" w:type="dxa"/>
          </w:tcPr>
          <w:p w:rsidR="007D5F6F" w:rsidRDefault="00135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24</w:t>
            </w:r>
          </w:p>
        </w:tc>
        <w:tc>
          <w:tcPr>
            <w:tcW w:w="7825" w:type="dxa"/>
          </w:tcPr>
          <w:p w:rsidR="007D5F6F" w:rsidRDefault="00135E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впорядкування мережі комунальних підприємств, закладів, установ міста</w:t>
            </w: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Катриченко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О.В.,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До обговорення долучився депутат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Шишка Н.В.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запропонував підтримати та винести на розгляд 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даний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1-15, 20-21, 25-81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рішень підтримати та винести 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 xml:space="preserve">їх </w:t>
      </w:r>
      <w:r>
        <w:rPr>
          <w:rFonts w:ascii="Times New Roman" w:eastAsia="Times New Roman" w:hAnsi="Times New Roman" w:cs="Times New Roman"/>
          <w:sz w:val="28"/>
          <w:szCs w:val="28"/>
        </w:rPr>
        <w:t>на розгляд Х сесії міської ради VIIІ скликання пакетом.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 сесії міської ради VIIІ скликання дані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7D5F6F" w:rsidRDefault="007D5F6F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В.Ю.,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tbl>
      <w:tblPr>
        <w:tblStyle w:val="a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7D5F6F">
        <w:trPr>
          <w:trHeight w:val="310"/>
        </w:trPr>
        <w:tc>
          <w:tcPr>
            <w:tcW w:w="1701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7D5F6F" w:rsidRDefault="00135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відповідність </w:t>
            </w:r>
            <w:proofErr w:type="spellStart"/>
            <w:r w:rsidR="00E562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проєкт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регуляторного акта - рішення міської ради «Про затвердження Правил благоустрою в м. Кривому Розі»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D5F6F" w:rsidRDefault="007D5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Карого І.О.,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 доповів про необхідності доопрацювання регуляторного акту в зв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язку очікуванням відповіді від Державної 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 xml:space="preserve">регуляторної </w:t>
      </w:r>
      <w:r>
        <w:rPr>
          <w:rFonts w:ascii="Times New Roman" w:eastAsia="Times New Roman" w:hAnsi="Times New Roman" w:cs="Times New Roman"/>
          <w:sz w:val="28"/>
          <w:szCs w:val="28"/>
        </w:rPr>
        <w:t>служби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 xml:space="preserve"> України. До обговорення долучилися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депутат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Шишка Н.В.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 xml:space="preserve"> Депутат міської ради Шишка Н.В.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надала пропозицію, щодо направлення на її адресу для ознайомлення питань та пропозицій, які будуть надаватися при доробці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A5264" w:rsidRPr="00EA5264">
        <w:rPr>
          <w:rFonts w:ascii="Times New Roman" w:hAnsi="Times New Roman" w:cs="Times New Roman"/>
          <w:sz w:val="28"/>
          <w:szCs w:val="28"/>
        </w:rPr>
        <w:t xml:space="preserve">екомендувати розробникам (департаменту розвитку інфраструктури міста, інспекції з благоустрою) доопрацювати </w:t>
      </w:r>
      <w:proofErr w:type="spellStart"/>
      <w:r w:rsidR="00EA5264" w:rsidRPr="00EA526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EA5264" w:rsidRPr="00EA5264">
        <w:rPr>
          <w:rFonts w:ascii="Times New Roman" w:hAnsi="Times New Roman" w:cs="Times New Roman"/>
          <w:sz w:val="28"/>
          <w:szCs w:val="28"/>
        </w:rPr>
        <w:t xml:space="preserve"> </w:t>
      </w:r>
      <w:r w:rsidR="00723483">
        <w:rPr>
          <w:rFonts w:ascii="Times New Roman" w:hAnsi="Times New Roman" w:cs="Times New Roman"/>
          <w:sz w:val="28"/>
          <w:szCs w:val="28"/>
        </w:rPr>
        <w:t>регуляторного акту</w:t>
      </w:r>
      <w:r w:rsidR="00EA52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строком до наступної сесії міської ради VIIІ скликання.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723483" w:rsidRPr="0072348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723483" w:rsidRPr="00EA5264">
        <w:rPr>
          <w:rFonts w:ascii="Times New Roman" w:hAnsi="Times New Roman" w:cs="Times New Roman"/>
          <w:sz w:val="28"/>
          <w:szCs w:val="28"/>
        </w:rPr>
        <w:t>епартаменту розвитку інфраструктури міста, інспекції з благоустрою</w:t>
      </w:r>
      <w:r w:rsidR="00723483"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723483" w:rsidRPr="00EA5264">
        <w:rPr>
          <w:rFonts w:ascii="Times New Roman" w:hAnsi="Times New Roman" w:cs="Times New Roman"/>
          <w:sz w:val="28"/>
          <w:szCs w:val="28"/>
        </w:rPr>
        <w:t>доопрацювати</w:t>
      </w:r>
      <w:r w:rsidR="007234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5626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регуляторного акту – рішення міської ради «Про затвердження Правил благоустрою в м. Кривому Розі» </w:t>
      </w:r>
      <w:r w:rsidR="00723483">
        <w:rPr>
          <w:rFonts w:ascii="Times New Roman" w:eastAsia="Times New Roman" w:hAnsi="Times New Roman" w:cs="Times New Roman"/>
          <w:sz w:val="28"/>
          <w:szCs w:val="28"/>
        </w:rPr>
        <w:t xml:space="preserve">до наступної сесії міської ради VIIІ скликання. 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1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7D5F6F">
        <w:trPr>
          <w:trHeight w:val="310"/>
        </w:trPr>
        <w:tc>
          <w:tcPr>
            <w:tcW w:w="1701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</w:t>
            </w:r>
          </w:p>
        </w:tc>
        <w:tc>
          <w:tcPr>
            <w:tcW w:w="7938" w:type="dxa"/>
          </w:tcPr>
          <w:p w:rsidR="007D5F6F" w:rsidRDefault="00135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розгляд питання згідно плану роботи постійної комісії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І півріччя 2021 року «Специфіка функціонування КП «Центр поводження з тваринами» Криворізької міської ради, взаємодія з населенням та установами у сфері поводження з безпритульними тваринами та перспективи розвитку».</w:t>
            </w:r>
          </w:p>
          <w:p w:rsidR="007D5F6F" w:rsidRDefault="007D5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Кириленко А.С.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даного питання. </w:t>
      </w:r>
    </w:p>
    <w:p w:rsidR="007D5F6F" w:rsidRDefault="002B080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35EDE">
        <w:rPr>
          <w:rFonts w:ascii="Times New Roman" w:eastAsia="Times New Roman" w:hAnsi="Times New Roman" w:cs="Times New Roman"/>
          <w:sz w:val="28"/>
          <w:szCs w:val="28"/>
        </w:rPr>
        <w:t xml:space="preserve">До обговорення долучилися депутати міської ради </w:t>
      </w:r>
      <w:proofErr w:type="spellStart"/>
      <w:r w:rsidR="00135EDE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135EDE">
        <w:rPr>
          <w:rFonts w:ascii="Times New Roman" w:eastAsia="Times New Roman" w:hAnsi="Times New Roman" w:cs="Times New Roman"/>
          <w:sz w:val="28"/>
          <w:szCs w:val="28"/>
        </w:rPr>
        <w:t xml:space="preserve"> О.С., </w:t>
      </w:r>
      <w:proofErr w:type="spellStart"/>
      <w:r w:rsidR="00135EDE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135EDE">
        <w:rPr>
          <w:rFonts w:ascii="Times New Roman" w:eastAsia="Times New Roman" w:hAnsi="Times New Roman" w:cs="Times New Roman"/>
          <w:sz w:val="28"/>
          <w:szCs w:val="28"/>
        </w:rPr>
        <w:t xml:space="preserve"> В.Ю., Шишка Н.В., </w:t>
      </w:r>
      <w:proofErr w:type="spellStart"/>
      <w:r w:rsidR="00135EDE">
        <w:rPr>
          <w:rFonts w:ascii="Times New Roman" w:eastAsia="Times New Roman" w:hAnsi="Times New Roman" w:cs="Times New Roman"/>
          <w:sz w:val="28"/>
          <w:szCs w:val="28"/>
        </w:rPr>
        <w:t>Скворцов</w:t>
      </w:r>
      <w:proofErr w:type="spellEnd"/>
      <w:r w:rsidR="00135EDE">
        <w:rPr>
          <w:rFonts w:ascii="Times New Roman" w:eastAsia="Times New Roman" w:hAnsi="Times New Roman" w:cs="Times New Roman"/>
          <w:sz w:val="28"/>
          <w:szCs w:val="28"/>
        </w:rPr>
        <w:t xml:space="preserve"> Д.В., </w:t>
      </w:r>
      <w:proofErr w:type="spellStart"/>
      <w:r w:rsidR="00135EDE">
        <w:rPr>
          <w:rFonts w:ascii="Times New Roman" w:eastAsia="Times New Roman" w:hAnsi="Times New Roman" w:cs="Times New Roman"/>
          <w:sz w:val="28"/>
          <w:szCs w:val="28"/>
        </w:rPr>
        <w:t>Кулиняк</w:t>
      </w:r>
      <w:proofErr w:type="spellEnd"/>
      <w:r w:rsidR="00135EDE">
        <w:rPr>
          <w:rFonts w:ascii="Times New Roman" w:eastAsia="Times New Roman" w:hAnsi="Times New Roman" w:cs="Times New Roman"/>
          <w:sz w:val="28"/>
          <w:szCs w:val="28"/>
        </w:rPr>
        <w:t xml:space="preserve"> М.П., Іванова А.В. 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Скворцов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Д.В. вніс пропозиції:</w:t>
      </w:r>
    </w:p>
    <w:p w:rsidR="007D5F6F" w:rsidRPr="00284C3A" w:rsidRDefault="00135EDE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3A">
        <w:rPr>
          <w:rFonts w:ascii="Times New Roman" w:eastAsia="Times New Roman" w:hAnsi="Times New Roman" w:cs="Times New Roman"/>
          <w:sz w:val="28"/>
          <w:szCs w:val="28"/>
        </w:rPr>
        <w:t>розглянути можливість укладання договорів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 xml:space="preserve"> субпідряду між КП «Центр поводження з тваринами» КМР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 приватними клініками 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 xml:space="preserve">з метою прискорення процесу стерилізації </w:t>
      </w:r>
      <w:proofErr w:type="spellStart"/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>відловлених</w:t>
      </w:r>
      <w:proofErr w:type="spellEnd"/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 xml:space="preserve"> безпритульних собак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5F6F" w:rsidRPr="00284C3A" w:rsidRDefault="00135EDE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розробити 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>спеціалізовану п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>рограм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>у комплексних заходів щодо поводження з безпритульними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 тваринами;</w:t>
      </w:r>
    </w:p>
    <w:p w:rsidR="007D5F6F" w:rsidRPr="00284C3A" w:rsidRDefault="00135EDE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3A">
        <w:rPr>
          <w:rFonts w:ascii="Times New Roman" w:eastAsia="Times New Roman" w:hAnsi="Times New Roman" w:cs="Times New Roman"/>
          <w:sz w:val="28"/>
          <w:szCs w:val="28"/>
        </w:rPr>
        <w:t>організувати та провести</w:t>
      </w:r>
      <w:r w:rsidR="00AA4AA9" w:rsidRPr="00284C3A">
        <w:rPr>
          <w:rFonts w:ascii="Times New Roman" w:eastAsia="Times New Roman" w:hAnsi="Times New Roman" w:cs="Times New Roman"/>
          <w:sz w:val="28"/>
          <w:szCs w:val="28"/>
        </w:rPr>
        <w:t xml:space="preserve"> спільну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 нараду з представниками приватних клінік, 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>КП «Центр поводження з тваринами»</w:t>
      </w:r>
      <w:r w:rsidR="00E46299" w:rsidRPr="00284C3A">
        <w:rPr>
          <w:rFonts w:ascii="Times New Roman" w:eastAsia="Times New Roman" w:hAnsi="Times New Roman" w:cs="Times New Roman"/>
          <w:sz w:val="28"/>
          <w:szCs w:val="28"/>
        </w:rPr>
        <w:t xml:space="preserve"> КМР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, волонтерами та депутатами </w:t>
      </w:r>
      <w:r w:rsidR="002B080F" w:rsidRPr="00284C3A">
        <w:rPr>
          <w:rFonts w:ascii="Times New Roman" w:eastAsia="Times New Roman" w:hAnsi="Times New Roman" w:cs="Times New Roman"/>
          <w:sz w:val="28"/>
          <w:szCs w:val="28"/>
        </w:rPr>
        <w:t>міської та районних у місті рад</w:t>
      </w:r>
      <w:r w:rsidR="0045415F" w:rsidRPr="00284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15F" w:rsidRPr="00284C3A">
        <w:rPr>
          <w:rFonts w:ascii="Times New Roman" w:hAnsi="Times New Roman" w:cs="Times New Roman"/>
          <w:sz w:val="28"/>
          <w:szCs w:val="28"/>
        </w:rPr>
        <w:t xml:space="preserve">з питання </w:t>
      </w:r>
      <w:r w:rsidR="00E46299" w:rsidRPr="00284C3A">
        <w:rPr>
          <w:rFonts w:ascii="Times New Roman" w:hAnsi="Times New Roman" w:cs="Times New Roman"/>
          <w:sz w:val="28"/>
          <w:szCs w:val="28"/>
        </w:rPr>
        <w:t xml:space="preserve">комплексного вирішення проблеми поводження з безпритульними тваринами на території </w:t>
      </w:r>
      <w:proofErr w:type="spellStart"/>
      <w:r w:rsidR="00E46299" w:rsidRPr="00284C3A">
        <w:rPr>
          <w:rFonts w:ascii="Times New Roman" w:hAnsi="Times New Roman" w:cs="Times New Roman"/>
          <w:sz w:val="28"/>
          <w:szCs w:val="28"/>
        </w:rPr>
        <w:t>м.Кривого</w:t>
      </w:r>
      <w:proofErr w:type="spellEnd"/>
      <w:r w:rsidR="00E46299" w:rsidRPr="00284C3A">
        <w:rPr>
          <w:rFonts w:ascii="Times New Roman" w:hAnsi="Times New Roman" w:cs="Times New Roman"/>
          <w:sz w:val="28"/>
          <w:szCs w:val="28"/>
        </w:rPr>
        <w:t xml:space="preserve"> Рогу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5F6F" w:rsidRPr="00284C3A" w:rsidRDefault="00135EDE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повідомити </w:t>
      </w:r>
      <w:r w:rsidR="00284C3A" w:rsidRPr="00284C3A">
        <w:rPr>
          <w:rFonts w:ascii="Times New Roman" w:eastAsia="Times New Roman" w:hAnsi="Times New Roman" w:cs="Times New Roman"/>
          <w:sz w:val="28"/>
          <w:szCs w:val="28"/>
        </w:rPr>
        <w:t>депутатів міської ради від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 Криворізької міської організації політичної партії "Сила Людей" про дату</w:t>
      </w:r>
      <w:r w:rsidR="0045415F" w:rsidRPr="00284C3A">
        <w:rPr>
          <w:rFonts w:ascii="Times New Roman" w:eastAsia="Times New Roman" w:hAnsi="Times New Roman" w:cs="Times New Roman"/>
          <w:sz w:val="28"/>
          <w:szCs w:val="28"/>
        </w:rPr>
        <w:t>, місце та час</w:t>
      </w:r>
      <w:r w:rsidRPr="00284C3A">
        <w:rPr>
          <w:rFonts w:ascii="Times New Roman" w:eastAsia="Times New Roman" w:hAnsi="Times New Roman" w:cs="Times New Roman"/>
          <w:sz w:val="28"/>
          <w:szCs w:val="28"/>
        </w:rPr>
        <w:t xml:space="preserve"> проведення наради.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>,  який запропонував взяти до уваги отриману інформацію та  підтримати проп</w:t>
      </w:r>
      <w:r w:rsidR="00BB715E">
        <w:rPr>
          <w:rFonts w:ascii="Times New Roman" w:eastAsia="Times New Roman" w:hAnsi="Times New Roman" w:cs="Times New Roman"/>
          <w:sz w:val="28"/>
          <w:szCs w:val="28"/>
        </w:rPr>
        <w:t xml:space="preserve">озиції </w:t>
      </w:r>
      <w:proofErr w:type="spellStart"/>
      <w:r w:rsidR="00BB715E">
        <w:rPr>
          <w:rFonts w:ascii="Times New Roman" w:eastAsia="Times New Roman" w:hAnsi="Times New Roman" w:cs="Times New Roman"/>
          <w:sz w:val="28"/>
          <w:szCs w:val="28"/>
        </w:rPr>
        <w:t>Скворцова</w:t>
      </w:r>
      <w:proofErr w:type="spellEnd"/>
      <w:r w:rsidR="00BB715E">
        <w:rPr>
          <w:rFonts w:ascii="Times New Roman" w:eastAsia="Times New Roman" w:hAnsi="Times New Roman" w:cs="Times New Roman"/>
          <w:sz w:val="28"/>
          <w:szCs w:val="28"/>
        </w:rPr>
        <w:t xml:space="preserve"> Д.В., а також рекомендувати </w:t>
      </w:r>
      <w:r>
        <w:rPr>
          <w:rFonts w:ascii="Times New Roman" w:eastAsia="Times New Roman" w:hAnsi="Times New Roman" w:cs="Times New Roman"/>
          <w:sz w:val="28"/>
          <w:szCs w:val="28"/>
        </w:rPr>
        <w:t>департаменту розвитку інфраструктури міста виконкому міської ради розглянути можливість стерилізації тварин, які перебувають на території гаражних кооперативів при зверненні громадян.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Взяти</w:t>
      </w:r>
      <w:r w:rsidR="002B080F">
        <w:rPr>
          <w:rFonts w:ascii="Times New Roman" w:eastAsia="Times New Roman" w:hAnsi="Times New Roman" w:cs="Times New Roman"/>
          <w:sz w:val="28"/>
          <w:szCs w:val="28"/>
        </w:rPr>
        <w:t xml:space="preserve"> до уваги отриману інформацію, рекомендувати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департаменту розвитку інфраструктури міста виконкому міської ради розглянути можливість стерилізації тварин, які перебувають на території гаражних кооперативів </w:t>
      </w:r>
      <w:r w:rsidR="003758B7">
        <w:rPr>
          <w:rFonts w:ascii="Times New Roman" w:eastAsia="Times New Roman" w:hAnsi="Times New Roman" w:cs="Times New Roman"/>
          <w:sz w:val="28"/>
          <w:szCs w:val="28"/>
        </w:rPr>
        <w:t>за зверненнями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громадян та підтримати пропозиції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Скворцова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Д.В.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2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7D5F6F">
        <w:trPr>
          <w:trHeight w:val="310"/>
        </w:trPr>
        <w:tc>
          <w:tcPr>
            <w:tcW w:w="1701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</w:t>
            </w:r>
          </w:p>
        </w:tc>
        <w:tc>
          <w:tcPr>
            <w:tcW w:w="7938" w:type="dxa"/>
          </w:tcPr>
          <w:p w:rsidR="007D5F6F" w:rsidRDefault="00135EDE" w:rsidP="008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розгляд рекомендації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наданої на засіданні постійної комісії 22.01.2021.</w:t>
            </w:r>
          </w:p>
          <w:p w:rsidR="00886531" w:rsidRDefault="00886531" w:rsidP="00886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Карого І.О.,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даного питання. До обговорення долучи</w:t>
      </w:r>
      <w:r w:rsidR="00500AC1">
        <w:rPr>
          <w:rFonts w:ascii="Times New Roman" w:eastAsia="Times New Roman" w:hAnsi="Times New Roman" w:cs="Times New Roman"/>
          <w:sz w:val="28"/>
          <w:szCs w:val="28"/>
        </w:rPr>
        <w:t>лися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депутат</w:t>
      </w:r>
      <w:r w:rsidR="00500AC1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Скворцов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Д.В. 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>
        <w:rPr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інформацію взяти до відома та тримати на контролі.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Інформацію взяти до відома та тримати на контролі.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531" w:rsidRDefault="0088653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3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7D5F6F">
        <w:trPr>
          <w:trHeight w:val="310"/>
        </w:trPr>
        <w:tc>
          <w:tcPr>
            <w:tcW w:w="1701" w:type="dxa"/>
          </w:tcPr>
          <w:p w:rsidR="007D5F6F" w:rsidRDefault="00135EDE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5</w:t>
            </w:r>
          </w:p>
        </w:tc>
        <w:tc>
          <w:tcPr>
            <w:tcW w:w="7938" w:type="dxa"/>
          </w:tcPr>
          <w:p w:rsidR="007D5F6F" w:rsidRDefault="00135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 затвердження плану роботи постійної комісії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ІІ півріччя 2021 року.</w:t>
            </w:r>
          </w:p>
          <w:p w:rsidR="007D5F6F" w:rsidRDefault="007D5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питання, про затвердження плану роботи постійної комісії на ІІ півріччя 2021 року. Ознайомив присутніх із  заходами передбаченими планом роботи постійної комісії у ІІ півріччі 2021 року та рекомендував підтримати його.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3 – Бєлєхова О.С.,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Затвердити план роботи постійної комісії на ІІ півріччя 2021 року.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F" w:rsidRDefault="00135EDE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Головуючий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Владислав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</w:p>
    <w:p w:rsidR="007D5F6F" w:rsidRDefault="007D5F6F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7D5F6F">
      <w:headerReference w:type="default" r:id="rId9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ADE" w:rsidRDefault="006F1ADE">
      <w:pPr>
        <w:spacing w:after="0" w:line="240" w:lineRule="auto"/>
      </w:pPr>
      <w:r>
        <w:separator/>
      </w:r>
    </w:p>
  </w:endnote>
  <w:endnote w:type="continuationSeparator" w:id="0">
    <w:p w:rsidR="006F1ADE" w:rsidRDefault="006F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ADE" w:rsidRDefault="006F1ADE">
      <w:pPr>
        <w:spacing w:after="0" w:line="240" w:lineRule="auto"/>
      </w:pPr>
      <w:r>
        <w:separator/>
      </w:r>
    </w:p>
  </w:footnote>
  <w:footnote w:type="continuationSeparator" w:id="0">
    <w:p w:rsidR="006F1ADE" w:rsidRDefault="006F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6F" w:rsidRDefault="00135E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20845">
      <w:rPr>
        <w:noProof/>
        <w:color w:val="000000"/>
      </w:rPr>
      <w:t>7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81C"/>
    <w:multiLevelType w:val="multilevel"/>
    <w:tmpl w:val="504CF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5F6F"/>
    <w:rsid w:val="00120845"/>
    <w:rsid w:val="00135EDE"/>
    <w:rsid w:val="00252170"/>
    <w:rsid w:val="00284C3A"/>
    <w:rsid w:val="002B080F"/>
    <w:rsid w:val="003758B7"/>
    <w:rsid w:val="0045415F"/>
    <w:rsid w:val="00461C46"/>
    <w:rsid w:val="00500AC1"/>
    <w:rsid w:val="006F1ADE"/>
    <w:rsid w:val="00723483"/>
    <w:rsid w:val="007D5F6F"/>
    <w:rsid w:val="00886531"/>
    <w:rsid w:val="008F22CD"/>
    <w:rsid w:val="008F7449"/>
    <w:rsid w:val="00995D87"/>
    <w:rsid w:val="00AA4AA9"/>
    <w:rsid w:val="00BB715E"/>
    <w:rsid w:val="00C23B76"/>
    <w:rsid w:val="00E32668"/>
    <w:rsid w:val="00E46299"/>
    <w:rsid w:val="00E5626C"/>
    <w:rsid w:val="00EA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OE7S/USCjxlYMswld0SV7sTXPg==">AMUW2mUOyRfLdc4vSrlLWYMhueQ9ARpZFOjhSpmqoO/1TSUKcdy02LX8Ol1ponHhiFPCT4zfEG5VQdXAc3+LbjLEZH8uhpIuexj9svbTP4jwyy5xyMGA7JAT1tVLDELQ7cXX/p9ZYYz2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8546</Words>
  <Characters>4872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6</cp:revision>
  <cp:lastPrinted>2021-06-30T04:45:00Z</cp:lastPrinted>
  <dcterms:created xsi:type="dcterms:W3CDTF">2021-06-29T10:37:00Z</dcterms:created>
  <dcterms:modified xsi:type="dcterms:W3CDTF">2021-07-28T12:40:00Z</dcterms:modified>
</cp:coreProperties>
</file>