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D21A4B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21A4B">
        <w:rPr>
          <w:b/>
          <w:spacing w:val="40"/>
          <w:sz w:val="16"/>
          <w:szCs w:val="16"/>
          <w:lang w:val="uk-UA"/>
        </w:rPr>
        <w:t>ПЕРЕЛІК</w:t>
      </w:r>
    </w:p>
    <w:p w:rsidR="00D21A4B" w:rsidRPr="00D21A4B" w:rsidRDefault="00D21A4B" w:rsidP="0024139B">
      <w:pPr>
        <w:jc w:val="center"/>
        <w:rPr>
          <w:b/>
          <w:sz w:val="16"/>
          <w:szCs w:val="16"/>
          <w:lang w:val="uk-UA"/>
        </w:rPr>
      </w:pPr>
      <w:r w:rsidRPr="00D21A4B">
        <w:rPr>
          <w:b/>
          <w:sz w:val="16"/>
          <w:szCs w:val="16"/>
          <w:lang w:val="uk-UA"/>
        </w:rPr>
        <w:t>рішень міської ради VIII скликання,</w:t>
      </w:r>
    </w:p>
    <w:p w:rsidR="00D21A4B" w:rsidRPr="00D21A4B" w:rsidRDefault="00D21A4B" w:rsidP="0024139B">
      <w:pPr>
        <w:jc w:val="center"/>
        <w:rPr>
          <w:b/>
          <w:sz w:val="16"/>
          <w:szCs w:val="16"/>
          <w:lang w:val="uk-UA"/>
        </w:rPr>
      </w:pPr>
      <w:r w:rsidRPr="00D21A4B">
        <w:rPr>
          <w:b/>
          <w:sz w:val="16"/>
          <w:szCs w:val="16"/>
          <w:lang w:val="uk-UA"/>
        </w:rPr>
        <w:t>внесених до протоколу пленарного засідання XXXII сесії</w:t>
      </w:r>
    </w:p>
    <w:p w:rsidR="00927FC1" w:rsidRPr="00D21A4B" w:rsidRDefault="00D21A4B" w:rsidP="0024139B">
      <w:pPr>
        <w:jc w:val="center"/>
        <w:rPr>
          <w:b/>
          <w:sz w:val="16"/>
          <w:szCs w:val="16"/>
          <w:lang w:val="uk-UA"/>
        </w:rPr>
      </w:pPr>
      <w:r w:rsidRPr="00D21A4B">
        <w:rPr>
          <w:b/>
          <w:sz w:val="16"/>
          <w:szCs w:val="16"/>
          <w:lang w:val="uk-UA"/>
        </w:rPr>
        <w:t>від 28 жовтня 2022 року</w:t>
      </w:r>
    </w:p>
    <w:p w:rsidR="0024139B" w:rsidRPr="00D21A4B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21A4B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D21A4B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Га</w:t>
            </w:r>
            <w:r w:rsidR="00672F48" w:rsidRPr="00D21A4B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21A4B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21A4B" w:rsidTr="00672F48">
        <w:tc>
          <w:tcPr>
            <w:tcW w:w="959" w:type="dxa"/>
            <w:shd w:val="clear" w:color="auto" w:fill="auto"/>
          </w:tcPr>
          <w:p w:rsidR="009F37F4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персонального складу постійної комісії Криворізької міської ради з питань підприємництва</w:t>
            </w:r>
          </w:p>
        </w:tc>
        <w:tc>
          <w:tcPr>
            <w:tcW w:w="1253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1467 від 28.10.2022</w:t>
            </w:r>
          </w:p>
        </w:tc>
        <w:tc>
          <w:tcPr>
            <w:tcW w:w="1275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Зміни до персонального складу постійної комісії </w:t>
            </w:r>
          </w:p>
        </w:tc>
        <w:tc>
          <w:tcPr>
            <w:tcW w:w="1399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складу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1468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складу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«Про затвердження Програми соціальної підтримки населення у 2017-2022 роках»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1469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Внесення змін, рішення, Програма соціальної підтримки населення у 2017-2022 роках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затвердження Переліку комунальних установ, закладів, у яких розміщено внутрішньо переміщених осіб у м. Кривому Розі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1470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Соціальна політика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Перелік комунальних установ, закладів для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ВПО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№1185 «Про затвердження міжгалузевої комплексної програми «Здоров’я нації» у м. Кривому Розі на 2017-2024 роки»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1471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Коригування орієнтовних обсягів фінансування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21A4B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внесення змін до складу міської надзвичайної протиепізоотичної комісії 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1472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 внесення  змін до рішення  міської  ради  від 27.01.2016 №209 «Про затвердження Програми громадського порядку та громадської безпеки в м. Кривому Розі на період до 2025 року»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1473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затвердження звіту виконкому міської ради про використання коштів резервного фонду бюджету Криворізької міської територіальної громади в умовах воєнного стану станом на 01.10.2022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1474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Відділ взаємодії з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правоохо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ронними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затвердження звіту виконкому міської ради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рішення міської ради від 24.12.2015 №58 «Про затвердження Програми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               м. Кривому Розі на 2016-2024 роки»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1475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рішення міської ради від 24.12.2015 №60 «Про затвердження Програми розвитку системи цивільного захисту в м. Кривому Розі на 2016-2024 роки»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1476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 внесення змін до рішення міської  ради від 21.12.2016 №1176 «Про затвердження Програми сприяння розвитку місцевого самоврядування в м. Кривому Розі на 2017-2022 роки»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1477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 внесення змін до рішення міської  ради від 21.12.2016 №1176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рішення міської ради від 28.02.2017 №1402 «Про затвердження Програми інформатизації та цифрової трансформації на 2017-2024 роки»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1478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Управління інформаційно-</w:t>
            </w:r>
            <w:proofErr w:type="spellStart"/>
            <w:r>
              <w:rPr>
                <w:sz w:val="16"/>
                <w:szCs w:val="16"/>
                <w:lang w:val="uk-UA"/>
              </w:rPr>
              <w:t>комуніка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>
              <w:rPr>
                <w:sz w:val="16"/>
                <w:szCs w:val="16"/>
                <w:lang w:val="uk-UA"/>
              </w:rPr>
              <w:t>ційних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Програма інформатизації та цифрової трансформації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№1208 «Про затвердження Програми розвитку та утримання об’єктів (елементів) благоустрою м. Кривого Рогу на період 2017-2022 років»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1479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внесення змін до рішення 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«Про затвердження Програми розвитку та утримання житлово-комунального господарства міста на період 2017-2022 років»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1480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«Про бюджет Криворізької міської територіальної громади на            2022 рік»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1481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затвердження звіту департаменту у справах сім’ї, молоді та спорту виконкому </w:t>
            </w:r>
            <w:r w:rsidRPr="00D21A4B">
              <w:rPr>
                <w:sz w:val="16"/>
                <w:szCs w:val="16"/>
                <w:lang w:val="uk-UA"/>
              </w:rPr>
              <w:lastRenderedPageBreak/>
              <w:t>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01.10.2022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lastRenderedPageBreak/>
              <w:t>№ 1482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Департамент у справах сім’ї, </w:t>
            </w:r>
            <w:r w:rsidRPr="00D21A4B">
              <w:rPr>
                <w:sz w:val="16"/>
                <w:szCs w:val="16"/>
                <w:lang w:val="uk-UA"/>
              </w:rPr>
              <w:lastRenderedPageBreak/>
              <w:t>молоді та спорту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lastRenderedPageBreak/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Використання коштів резервного фонду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D21A4B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продовження терміну дії контракту з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Пауковою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Г.І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1483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продовження терміну дії контракту від 27.10.2021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окремих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1484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Зміни, безоплатне прийняття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вжиття заходів щодо виконання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1485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виконання рішень міської ради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надання згоди на безоплатне прийняття квартири з державної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1486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Безоплатне прийняття, згода, квартира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надання згоди на безоплатне прийняття станцій супутникового зв’язку «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Starlink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>» з державної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1487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Безоплатне прийняття, охорона здоров'я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надання згоди на безоплатне прийняття окремого індивідуально визначеного майна з державної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1488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Безоплатне прийняття, згода, окреме майно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включення об’єкта комунальної власності Криворізької міської територіальної громади, що пропонується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1489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включення об’єктів до Переліку другого типу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відмову в наданні адміністративних послуг суб’єктам звернення 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1490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Відмова в наданні адміністративних послуг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відмову гр.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Гурмазі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І.П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>. в наданні згоди на розробку детального плану території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1491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Департамент регулювання містобудівної </w:t>
            </w:r>
            <w:r w:rsidRPr="00D21A4B">
              <w:rPr>
                <w:sz w:val="16"/>
                <w:szCs w:val="16"/>
                <w:lang w:val="uk-UA"/>
              </w:rPr>
              <w:lastRenderedPageBreak/>
              <w:t>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21A4B">
              <w:rPr>
                <w:sz w:val="16"/>
                <w:szCs w:val="16"/>
                <w:lang w:val="uk-UA"/>
              </w:rPr>
              <w:lastRenderedPageBreak/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Відмова, гр.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Гурмаза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І.П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., розробка детального плану  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Управління організаційно-протокольної </w:t>
            </w:r>
            <w:r w:rsidRPr="00D21A4B">
              <w:rPr>
                <w:sz w:val="16"/>
                <w:szCs w:val="16"/>
                <w:lang w:val="uk-UA"/>
              </w:rPr>
              <w:lastRenderedPageBreak/>
              <w:t>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lastRenderedPageBreak/>
              <w:t>26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1492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21A4B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Відмова в розробці проектів землеустрою, у користування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1493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Відмова в наданні, оренд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відмову в поновленні договорів оренди земельних ділянок  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1494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Відмова в поновленні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відмову в унесенні змін до рішення міської ради від 12.06.2017 №1703 «Про розробку детальних планів територій»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1495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21A4B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Відмова, зміни, рішення №1703 від 12.06.2017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діючих договорів оренди земельних ділянок за зверненнями землекористувачів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1496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Внесення змін до діючих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1497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Внесення змін до рішень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внесення змін до рішення міської ради від 27.06.2018 №2815 «Про створення департаменту регулювання містобудівної діяльності та земельних відносин виконкому Криворізької міської ради на базі управління містобудування, архітектури та земельних відносин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1498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21A4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21A4B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Положення, департамент, містобудівна діяльність, земельні відносини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затвердження проектів землеустрою щодо відведення земельних ділянок, реєстрацію права комунальної власності на </w:t>
            </w:r>
            <w:r w:rsidRPr="00D21A4B">
              <w:rPr>
                <w:sz w:val="16"/>
                <w:szCs w:val="16"/>
                <w:lang w:val="uk-UA"/>
              </w:rPr>
              <w:lastRenderedPageBreak/>
              <w:t>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lastRenderedPageBreak/>
              <w:t>№ 1499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D21A4B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Поновлення сервітут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lastRenderedPageBreak/>
              <w:t>34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по-ділу земельної ділянки комунальної власності на пр-ті Гагаріна, 46, реєстрацію права комунальної власності на сформовані внаслідок поділу земельні ділянки, припинення дії договору оренди землі й надання в оренду земельних ділянок, сформованих у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1500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Затвердження документації, поділ, </w:t>
            </w:r>
            <w:r>
              <w:rPr>
                <w:sz w:val="16"/>
                <w:szCs w:val="16"/>
                <w:lang w:val="uk-UA"/>
              </w:rPr>
              <w:t xml:space="preserve">          </w:t>
            </w:r>
            <w:r w:rsidRPr="00D21A4B">
              <w:rPr>
                <w:sz w:val="16"/>
                <w:szCs w:val="16"/>
                <w:lang w:val="uk-UA"/>
              </w:rPr>
              <w:t>пр-т Гагаріна, 46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поділу земельної ділянки комунальної власності на вул. Космо-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навтів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13у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>, реєстрацію права комунальної власності на сформовані внаслідок поділу земельні ділянки, припинення дії договору оренди земельної ділянки та права комунальної власності на неї, надання в оренду земельних ділянок, сформованих у 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1501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Затвердження документації, поділ, вул. Космонавтів,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13у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земельних ділянок комунальної власності на пр-ті 200-річчя Кривого Рогу,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5д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 та вул. Алмазній,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18к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 і реєстрацію права комунальної власності на сформовані внаслідок поділу земельні ділянки, припинення дії договорів оренди земельних ділянок та права комунальної власності на них, надання в оренду земельних ділянок, сформованих у 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1502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Затвердження, поділ, пр-т 200-річчя Кривого Рогу,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5д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, вул. Алмазна,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18к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земельної ділянки комунальної власності на вул. Соборності,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49Г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>, реєстрацію права комунальної власності на сформовані внаслідок поділу земельні ділянки, припинення дії договору оренди землі й надання в оренду земельних ділянок, сформованих у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1503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Затвердження документації, поділ, вул. Соборності,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49Г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земельної ділянки комунальної власності на вул.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Олек-сандра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 Поля, 32,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36а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36б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>,  реєстрацію права комунальної власності на сформовані внаслідок поділу земельні ділянки та надання їх у оренду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1504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Затвердження документації, поділ, вул. Олександра Поля, 32,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36а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36б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 та згоди на відновлення меж земельних ділянок 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1505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Надання дозволу, технічна документація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1506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21A4B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Дозвіл, розробка проектів землеустрою, користування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1507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Згода на поділ сформованих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надання згоди Товариству з обмеженою відповідальністю «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ОПТПРОДУКТ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>» на припинення права власності на земельну ділянку у зв’язку з добровільною відмовою на користь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1508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Добровільна відмова, право власності, </w:t>
            </w:r>
            <w:r>
              <w:rPr>
                <w:sz w:val="16"/>
                <w:szCs w:val="16"/>
                <w:lang w:val="uk-UA"/>
              </w:rPr>
              <w:t>«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ОПТПРОДУКТ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1509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Надання, оренда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надання земельної ділянки в постійне користування на               вул. Кропивницького,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63а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1510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Надання, постійне користування, вул.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Кро</w:t>
            </w:r>
            <w:r>
              <w:rPr>
                <w:sz w:val="16"/>
                <w:szCs w:val="16"/>
                <w:lang w:val="uk-UA"/>
              </w:rPr>
              <w:t>-</w:t>
            </w:r>
            <w:r w:rsidRPr="00D21A4B">
              <w:rPr>
                <w:sz w:val="16"/>
                <w:szCs w:val="16"/>
                <w:lang w:val="uk-UA"/>
              </w:rPr>
              <w:t>пивницького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63а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1511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D21A4B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Поновлення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lastRenderedPageBreak/>
              <w:t>46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поновлення обмеженого платного або безоплатного користування чужою  земельною  ділянкою  (сервітуту)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1512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Поновлення сервітут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припинення  права комунальної власності Криворізької міської територіальної громади на земельні ділянки  </w:t>
            </w:r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1513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Припинення права територіальної громади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1A4B" w:rsidRPr="00D21A4B" w:rsidTr="00672F48">
        <w:tc>
          <w:tcPr>
            <w:tcW w:w="959" w:type="dxa"/>
            <w:shd w:val="clear" w:color="auto" w:fill="auto"/>
          </w:tcPr>
          <w:p w:rsidR="00D21A4B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D21A4B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Про припинення Комунальному підприємству «Автобаза №1» права постійного користування земельною ділянкою на вул. Леоніда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Бородича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9ж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1514 від 28.10.2022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 xml:space="preserve">Припинення права, Леоніда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Бородича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21A4B">
              <w:rPr>
                <w:sz w:val="16"/>
                <w:szCs w:val="16"/>
                <w:lang w:val="uk-UA"/>
              </w:rPr>
              <w:t>9ж</w:t>
            </w:r>
            <w:proofErr w:type="spellEnd"/>
            <w:r w:rsidRPr="00D21A4B">
              <w:rPr>
                <w:sz w:val="16"/>
                <w:szCs w:val="16"/>
                <w:lang w:val="uk-UA"/>
              </w:rPr>
              <w:t>, автобаза №1</w:t>
            </w:r>
          </w:p>
        </w:tc>
        <w:tc>
          <w:tcPr>
            <w:tcW w:w="13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21A4B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21A4B" w:rsidTr="00672F48">
        <w:tc>
          <w:tcPr>
            <w:tcW w:w="959" w:type="dxa"/>
            <w:shd w:val="clear" w:color="auto" w:fill="auto"/>
          </w:tcPr>
          <w:p w:rsidR="009F37F4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9F37F4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перейменування об’єктів топоніміки  м. Кривого Рогу</w:t>
            </w:r>
          </w:p>
        </w:tc>
        <w:tc>
          <w:tcPr>
            <w:tcW w:w="1253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1515 від 28.10.2022</w:t>
            </w:r>
          </w:p>
        </w:tc>
        <w:tc>
          <w:tcPr>
            <w:tcW w:w="1275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Топоніміка</w:t>
            </w:r>
          </w:p>
        </w:tc>
        <w:tc>
          <w:tcPr>
            <w:tcW w:w="1903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Перейменування, топонімічні назви</w:t>
            </w:r>
          </w:p>
        </w:tc>
        <w:tc>
          <w:tcPr>
            <w:tcW w:w="1399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21A4B" w:rsidTr="00672F48">
        <w:tc>
          <w:tcPr>
            <w:tcW w:w="959" w:type="dxa"/>
            <w:shd w:val="clear" w:color="auto" w:fill="auto"/>
          </w:tcPr>
          <w:p w:rsidR="009F37F4" w:rsidRPr="00D21A4B" w:rsidRDefault="00D21A4B" w:rsidP="0024139B">
            <w:pPr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9F37F4" w:rsidRPr="00D21A4B" w:rsidRDefault="00D21A4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Про надання згоди відділу освіти виконкому Інгулецької районної у місті ради на списання з балансового обліку об’єкта незавершеного будівництва</w:t>
            </w:r>
          </w:p>
        </w:tc>
        <w:tc>
          <w:tcPr>
            <w:tcW w:w="1253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№ 1516 від 28.10.2022</w:t>
            </w:r>
          </w:p>
        </w:tc>
        <w:tc>
          <w:tcPr>
            <w:tcW w:w="1275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Списання, незавершене будівництво, балансоутримувач, звіт</w:t>
            </w:r>
          </w:p>
        </w:tc>
        <w:tc>
          <w:tcPr>
            <w:tcW w:w="1399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21A4B" w:rsidRDefault="00D21A4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21A4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21A4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21A4B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21A4B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21A4B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9CFE9"/>
  <w15:chartTrackingRefBased/>
  <w15:docId w15:val="{CD3833AF-ADEF-4A4B-84B9-8191DCD6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2022-10-28T12:32:00Z</dcterms:created>
  <dcterms:modified xsi:type="dcterms:W3CDTF">2022-10-28T12:37:00Z</dcterms:modified>
</cp:coreProperties>
</file>