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A7EB26" w14:textId="77777777" w:rsidR="00A212A9" w:rsidRPr="000677FB" w:rsidRDefault="00A212A9" w:rsidP="00A212A9">
      <w:pPr>
        <w:jc w:val="center"/>
        <w:rPr>
          <w:b/>
          <w:i/>
          <w:sz w:val="28"/>
          <w:szCs w:val="28"/>
          <w:lang w:val="uk-UA"/>
        </w:rPr>
      </w:pPr>
      <w:r w:rsidRPr="000677FB">
        <w:rPr>
          <w:b/>
          <w:i/>
          <w:sz w:val="28"/>
          <w:szCs w:val="28"/>
          <w:lang w:val="uk-UA"/>
        </w:rPr>
        <w:t>ЗВІТ</w:t>
      </w:r>
    </w:p>
    <w:p w14:paraId="39F50445" w14:textId="77777777" w:rsidR="00A212A9" w:rsidRPr="000677FB" w:rsidRDefault="00A212A9" w:rsidP="00A212A9">
      <w:pPr>
        <w:ind w:firstLine="567"/>
        <w:jc w:val="center"/>
        <w:rPr>
          <w:b/>
          <w:i/>
          <w:sz w:val="28"/>
          <w:szCs w:val="28"/>
          <w:lang w:val="uk-UA"/>
        </w:rPr>
      </w:pPr>
      <w:r w:rsidRPr="000677FB">
        <w:rPr>
          <w:b/>
          <w:i/>
          <w:sz w:val="28"/>
          <w:szCs w:val="28"/>
          <w:lang w:val="uk-UA"/>
        </w:rPr>
        <w:t xml:space="preserve">про роботу юридичного управління </w:t>
      </w:r>
    </w:p>
    <w:p w14:paraId="07B1A176" w14:textId="61993F84" w:rsidR="00A212A9" w:rsidRPr="000677FB" w:rsidRDefault="00A212A9" w:rsidP="00A212A9">
      <w:pPr>
        <w:ind w:firstLine="567"/>
        <w:jc w:val="center"/>
        <w:rPr>
          <w:b/>
          <w:i/>
          <w:sz w:val="28"/>
          <w:szCs w:val="28"/>
          <w:lang w:val="uk-UA"/>
        </w:rPr>
      </w:pPr>
      <w:r w:rsidRPr="000677FB">
        <w:rPr>
          <w:b/>
          <w:i/>
          <w:sz w:val="28"/>
          <w:szCs w:val="28"/>
          <w:lang w:val="uk-UA"/>
        </w:rPr>
        <w:t xml:space="preserve">виконкому міської ради </w:t>
      </w:r>
      <w:r w:rsidR="007E4204">
        <w:rPr>
          <w:b/>
          <w:i/>
          <w:sz w:val="28"/>
          <w:szCs w:val="28"/>
          <w:lang w:val="uk-UA"/>
        </w:rPr>
        <w:t>у</w:t>
      </w:r>
      <w:r w:rsidRPr="000677FB">
        <w:rPr>
          <w:b/>
          <w:i/>
          <w:sz w:val="28"/>
          <w:szCs w:val="28"/>
          <w:lang w:val="uk-UA"/>
        </w:rPr>
        <w:t xml:space="preserve"> 202</w:t>
      </w:r>
      <w:r w:rsidR="005F072B" w:rsidRPr="000677FB">
        <w:rPr>
          <w:b/>
          <w:i/>
          <w:sz w:val="28"/>
          <w:szCs w:val="28"/>
          <w:lang w:val="uk-UA"/>
        </w:rPr>
        <w:t>4</w:t>
      </w:r>
      <w:r w:rsidRPr="000677FB">
        <w:rPr>
          <w:b/>
          <w:i/>
          <w:sz w:val="28"/>
          <w:szCs w:val="28"/>
          <w:lang w:val="uk-UA"/>
        </w:rPr>
        <w:t xml:space="preserve"> рік</w:t>
      </w:r>
      <w:r w:rsidR="007E4204">
        <w:rPr>
          <w:b/>
          <w:i/>
          <w:sz w:val="28"/>
          <w:szCs w:val="28"/>
          <w:lang w:val="uk-UA"/>
        </w:rPr>
        <w:t>оці</w:t>
      </w:r>
    </w:p>
    <w:p w14:paraId="448BEFE7" w14:textId="77777777" w:rsidR="00A212A9" w:rsidRPr="000677FB" w:rsidRDefault="00A212A9" w:rsidP="00A212A9">
      <w:pPr>
        <w:ind w:firstLine="567"/>
        <w:jc w:val="center"/>
        <w:rPr>
          <w:b/>
          <w:i/>
          <w:sz w:val="28"/>
          <w:szCs w:val="28"/>
          <w:lang w:val="uk-UA"/>
        </w:rPr>
      </w:pPr>
    </w:p>
    <w:p w14:paraId="477F480F" w14:textId="77777777" w:rsidR="00A212A9" w:rsidRPr="000677FB" w:rsidRDefault="00A212A9" w:rsidP="00F02B98">
      <w:pPr>
        <w:shd w:val="clear" w:color="auto" w:fill="FFFFFF"/>
        <w:ind w:firstLine="567"/>
        <w:jc w:val="both"/>
        <w:rPr>
          <w:sz w:val="28"/>
          <w:szCs w:val="28"/>
          <w:lang w:val="uk-UA"/>
        </w:rPr>
      </w:pPr>
      <w:r w:rsidRPr="000677FB">
        <w:rPr>
          <w:sz w:val="28"/>
          <w:szCs w:val="28"/>
          <w:lang w:val="uk-UA"/>
        </w:rPr>
        <w:t>Юридичне управління виконкому міської ради (надалі – Управління) є структурним підрозділом виконавчого комітету міської ради, яке підконтрольне та підзвітне міській раді, підпорядковане її виконавчому комітету та міському голові.</w:t>
      </w:r>
    </w:p>
    <w:p w14:paraId="78FC4ACD" w14:textId="0D9C09BA" w:rsidR="00FA04E9" w:rsidRPr="000677FB" w:rsidRDefault="00A212A9" w:rsidP="00F02B98">
      <w:pPr>
        <w:shd w:val="clear" w:color="auto" w:fill="FFFFFF"/>
        <w:ind w:firstLine="567"/>
        <w:jc w:val="both"/>
        <w:rPr>
          <w:sz w:val="28"/>
          <w:szCs w:val="28"/>
          <w:lang w:val="uk-UA"/>
        </w:rPr>
      </w:pPr>
      <w:r w:rsidRPr="000677FB">
        <w:rPr>
          <w:sz w:val="28"/>
          <w:szCs w:val="28"/>
          <w:lang w:val="uk-UA"/>
        </w:rPr>
        <w:t>Діяльність Управління здійснюється на підставі, у межах повноважень і в спосіб, передбачені Конституцією та законами України за  п’ятьома основними напрямами: 1) правове забезпечення роботи у виконкомі міської ради;</w:t>
      </w:r>
      <w:r w:rsidR="0088269F" w:rsidRPr="000677FB">
        <w:rPr>
          <w:sz w:val="28"/>
          <w:szCs w:val="28"/>
          <w:lang w:val="uk-UA"/>
        </w:rPr>
        <w:t xml:space="preserve"> </w:t>
      </w:r>
      <w:r w:rsidRPr="000677FB">
        <w:rPr>
          <w:sz w:val="28"/>
          <w:szCs w:val="28"/>
          <w:lang w:val="uk-UA"/>
        </w:rPr>
        <w:t>2) претензійно-позовна робота;</w:t>
      </w:r>
      <w:r w:rsidR="0088269F" w:rsidRPr="000677FB">
        <w:rPr>
          <w:sz w:val="28"/>
          <w:szCs w:val="28"/>
          <w:lang w:val="uk-UA"/>
        </w:rPr>
        <w:t xml:space="preserve"> </w:t>
      </w:r>
      <w:r w:rsidRPr="000677FB">
        <w:rPr>
          <w:sz w:val="28"/>
          <w:szCs w:val="28"/>
          <w:lang w:val="uk-UA"/>
        </w:rPr>
        <w:t>3) представництво в суді; 4) робота у сфері договірних відносин; 5) здійснення інформаційно-аналітичної роботи, пов’язаної з упровадженням нового законодавства, розгляд проблемних питань, що виникають у зв’язку зі змінами в чинному законодавстві.</w:t>
      </w:r>
      <w:r w:rsidR="00FA04E9" w:rsidRPr="000677FB">
        <w:rPr>
          <w:sz w:val="28"/>
          <w:szCs w:val="28"/>
          <w:lang w:val="uk-UA"/>
        </w:rPr>
        <w:t xml:space="preserve"> </w:t>
      </w:r>
    </w:p>
    <w:p w14:paraId="01CE9522" w14:textId="0BD94A3C" w:rsidR="00A212A9" w:rsidRPr="000677FB" w:rsidRDefault="00A212A9" w:rsidP="00F02B98">
      <w:pPr>
        <w:pStyle w:val="32"/>
        <w:tabs>
          <w:tab w:val="left" w:pos="567"/>
        </w:tabs>
        <w:spacing w:after="0"/>
        <w:ind w:left="0" w:firstLine="567"/>
        <w:jc w:val="both"/>
        <w:rPr>
          <w:sz w:val="28"/>
          <w:szCs w:val="28"/>
          <w:lang w:val="uk-UA"/>
        </w:rPr>
      </w:pPr>
      <w:r w:rsidRPr="000677FB">
        <w:rPr>
          <w:sz w:val="28"/>
          <w:szCs w:val="28"/>
          <w:lang w:val="uk-UA"/>
        </w:rPr>
        <w:t>Управлінням здійснюється опрацювання кореспонденції, що надходить до міської ради та її виконкому від органів державної влади, органів прокуратури, Національної поліції, Служби безпеки України, листів-звернень від управлінь, відділів та інших виконавчих органів міської ради, виконкомів районних у місті рад, депутатських і адвокатських запитів, листів та запитів підприємств, установ і організацій міста різних форм власності.</w:t>
      </w:r>
    </w:p>
    <w:p w14:paraId="6D3BFA29" w14:textId="77777777" w:rsidR="00153290" w:rsidRPr="000677FB" w:rsidRDefault="00A212A9" w:rsidP="00FF7791">
      <w:pPr>
        <w:shd w:val="clear" w:color="auto" w:fill="FFFFFF"/>
        <w:spacing w:line="240" w:lineRule="atLeast"/>
        <w:ind w:firstLine="567"/>
        <w:jc w:val="both"/>
        <w:rPr>
          <w:sz w:val="28"/>
          <w:szCs w:val="28"/>
          <w:lang w:val="uk-UA"/>
        </w:rPr>
      </w:pPr>
      <w:r w:rsidRPr="000677FB">
        <w:rPr>
          <w:sz w:val="28"/>
          <w:szCs w:val="28"/>
          <w:lang w:val="uk-UA"/>
        </w:rPr>
        <w:t xml:space="preserve">Також, </w:t>
      </w:r>
      <w:r w:rsidR="0056669B" w:rsidRPr="000677FB">
        <w:rPr>
          <w:sz w:val="28"/>
          <w:szCs w:val="28"/>
          <w:lang w:val="uk-UA"/>
        </w:rPr>
        <w:t>юридичне у</w:t>
      </w:r>
      <w:r w:rsidRPr="000677FB">
        <w:rPr>
          <w:sz w:val="28"/>
          <w:szCs w:val="28"/>
          <w:lang w:val="uk-UA"/>
        </w:rPr>
        <w:t xml:space="preserve">правління здійснює розгляд звернень, що надійшли до Контакт-центру «Гаряча лінія голови облдержадміністрації», Державної установи «Урядовий контактний центр», </w:t>
      </w:r>
      <w:r w:rsidR="00FA04E9" w:rsidRPr="000677FB">
        <w:rPr>
          <w:spacing w:val="-20"/>
          <w:sz w:val="28"/>
          <w:szCs w:val="28"/>
          <w:lang w:val="uk-UA"/>
        </w:rPr>
        <w:t xml:space="preserve">Управління  електронної комунікації з громадою </w:t>
      </w:r>
      <w:r w:rsidR="00FA04E9" w:rsidRPr="000677FB">
        <w:rPr>
          <w:spacing w:val="-20"/>
          <w:sz w:val="28"/>
          <w:szCs w:val="28"/>
        </w:rPr>
        <w:t>«Контакт-центр 1520»</w:t>
      </w:r>
      <w:r w:rsidR="00FA04E9" w:rsidRPr="000677FB">
        <w:rPr>
          <w:b/>
          <w:spacing w:val="-20"/>
          <w:sz w:val="28"/>
          <w:szCs w:val="28"/>
          <w:lang w:val="uk-UA"/>
        </w:rPr>
        <w:t xml:space="preserve"> </w:t>
      </w:r>
      <w:r w:rsidRPr="000677FB">
        <w:rPr>
          <w:sz w:val="28"/>
          <w:szCs w:val="28"/>
          <w:lang w:val="uk-UA"/>
        </w:rPr>
        <w:t xml:space="preserve">та на електронний сервіс «Контакт-центру» виконкому Криворізької міської ради. </w:t>
      </w:r>
    </w:p>
    <w:p w14:paraId="30F8FBAC" w14:textId="153232F4" w:rsidR="00111AA8" w:rsidRPr="000677FB" w:rsidRDefault="00111AA8" w:rsidP="00F02B98">
      <w:pPr>
        <w:ind w:firstLine="567"/>
        <w:jc w:val="both"/>
        <w:rPr>
          <w:b/>
          <w:sz w:val="28"/>
          <w:szCs w:val="28"/>
          <w:lang w:val="uk-UA"/>
        </w:rPr>
      </w:pPr>
      <w:r w:rsidRPr="000677FB">
        <w:rPr>
          <w:sz w:val="28"/>
          <w:szCs w:val="28"/>
          <w:lang w:val="uk-UA"/>
        </w:rPr>
        <w:t xml:space="preserve">У 2024 році </w:t>
      </w:r>
      <w:r w:rsidR="00E112DA" w:rsidRPr="000677FB">
        <w:rPr>
          <w:sz w:val="28"/>
          <w:szCs w:val="28"/>
          <w:lang w:val="uk-UA"/>
        </w:rPr>
        <w:t>юридичним</w:t>
      </w:r>
      <w:r w:rsidR="006C0533" w:rsidRPr="000677FB">
        <w:rPr>
          <w:sz w:val="28"/>
          <w:szCs w:val="28"/>
          <w:lang w:val="uk-UA"/>
        </w:rPr>
        <w:t xml:space="preserve"> управління</w:t>
      </w:r>
      <w:r w:rsidR="00E112DA" w:rsidRPr="000677FB">
        <w:rPr>
          <w:sz w:val="28"/>
          <w:szCs w:val="28"/>
          <w:lang w:val="uk-UA"/>
        </w:rPr>
        <w:t>м</w:t>
      </w:r>
      <w:r w:rsidRPr="000677FB">
        <w:rPr>
          <w:b/>
          <w:sz w:val="28"/>
          <w:szCs w:val="28"/>
          <w:lang w:val="uk-UA"/>
        </w:rPr>
        <w:t xml:space="preserve"> </w:t>
      </w:r>
      <w:r w:rsidRPr="000677FB">
        <w:rPr>
          <w:bCs/>
          <w:sz w:val="28"/>
          <w:szCs w:val="28"/>
          <w:lang w:val="uk-UA"/>
        </w:rPr>
        <w:t>було організовано</w:t>
      </w:r>
      <w:r w:rsidRPr="000677FB">
        <w:rPr>
          <w:sz w:val="28"/>
          <w:szCs w:val="28"/>
          <w:lang w:val="uk-UA"/>
        </w:rPr>
        <w:t xml:space="preserve"> та проведено роботу, пов'язану з укладенням договорів, контрактів, угод та меморандумів, взято участь у їх підготовці та здійсненні заходів, спрямованих на виконання договірних зобов'язань, забезпечено захист майнових прав і законних інтересів Криворізької міської ради та її виконавчих органів. </w:t>
      </w:r>
    </w:p>
    <w:p w14:paraId="5ADBBAF1" w14:textId="0E357744" w:rsidR="00111AA8" w:rsidRPr="000677FB" w:rsidRDefault="00111AA8" w:rsidP="00F02B98">
      <w:pPr>
        <w:ind w:firstLine="567"/>
        <w:jc w:val="both"/>
        <w:rPr>
          <w:b/>
          <w:sz w:val="28"/>
          <w:szCs w:val="28"/>
          <w:lang w:val="uk-UA"/>
        </w:rPr>
      </w:pPr>
      <w:r w:rsidRPr="000677FB">
        <w:rPr>
          <w:bCs/>
          <w:sz w:val="28"/>
          <w:szCs w:val="28"/>
          <w:lang w:val="uk-UA"/>
        </w:rPr>
        <w:t xml:space="preserve">Спеціалістами </w:t>
      </w:r>
      <w:r w:rsidR="00DD13B6" w:rsidRPr="000677FB">
        <w:rPr>
          <w:bCs/>
          <w:sz w:val="28"/>
          <w:szCs w:val="28"/>
          <w:lang w:val="uk-UA"/>
        </w:rPr>
        <w:t>У</w:t>
      </w:r>
      <w:r w:rsidR="00C0503E" w:rsidRPr="000677FB">
        <w:rPr>
          <w:bCs/>
          <w:sz w:val="28"/>
          <w:szCs w:val="28"/>
          <w:lang w:val="uk-UA"/>
        </w:rPr>
        <w:t>правління</w:t>
      </w:r>
      <w:r w:rsidRPr="000677FB">
        <w:rPr>
          <w:bCs/>
          <w:sz w:val="28"/>
          <w:szCs w:val="28"/>
          <w:lang w:val="uk-UA"/>
        </w:rPr>
        <w:t xml:space="preserve"> п</w:t>
      </w:r>
      <w:r w:rsidRPr="000677FB">
        <w:rPr>
          <w:sz w:val="28"/>
          <w:szCs w:val="28"/>
          <w:lang w:val="uk-UA"/>
        </w:rPr>
        <w:t>еревірено</w:t>
      </w:r>
      <w:r w:rsidR="00C0503E" w:rsidRPr="000677FB">
        <w:rPr>
          <w:sz w:val="28"/>
          <w:szCs w:val="28"/>
          <w:lang w:val="uk-UA"/>
        </w:rPr>
        <w:t xml:space="preserve"> за звітний період</w:t>
      </w:r>
      <w:r w:rsidRPr="000677FB">
        <w:rPr>
          <w:sz w:val="28"/>
          <w:szCs w:val="28"/>
          <w:lang w:val="uk-UA"/>
        </w:rPr>
        <w:t xml:space="preserve"> на предмет відповідності діючим нормам законодавства України, а також інтересам та правам</w:t>
      </w:r>
      <w:r w:rsidR="005924D0" w:rsidRPr="000677FB">
        <w:rPr>
          <w:sz w:val="28"/>
          <w:szCs w:val="28"/>
          <w:lang w:val="uk-UA"/>
        </w:rPr>
        <w:t xml:space="preserve"> Криворізької міської </w:t>
      </w:r>
      <w:r w:rsidRPr="000677FB">
        <w:rPr>
          <w:sz w:val="28"/>
          <w:szCs w:val="28"/>
          <w:lang w:val="uk-UA"/>
        </w:rPr>
        <w:t xml:space="preserve">територіальної громади </w:t>
      </w:r>
      <w:r w:rsidRPr="000677FB">
        <w:rPr>
          <w:b/>
          <w:bCs/>
          <w:sz w:val="28"/>
          <w:szCs w:val="28"/>
          <w:lang w:val="uk-UA"/>
        </w:rPr>
        <w:t>553 договори</w:t>
      </w:r>
      <w:r w:rsidRPr="000677FB">
        <w:rPr>
          <w:sz w:val="28"/>
          <w:szCs w:val="28"/>
          <w:lang w:val="uk-UA"/>
        </w:rPr>
        <w:t xml:space="preserve"> з закупівлі товарів, робіт та послуг, </w:t>
      </w:r>
      <w:r w:rsidRPr="000677FB">
        <w:rPr>
          <w:b/>
          <w:bCs/>
          <w:sz w:val="28"/>
          <w:szCs w:val="28"/>
          <w:lang w:val="uk-UA"/>
        </w:rPr>
        <w:t>зокрема 117 договорів</w:t>
      </w:r>
      <w:r w:rsidRPr="000677FB">
        <w:rPr>
          <w:sz w:val="28"/>
          <w:szCs w:val="28"/>
          <w:lang w:val="uk-UA"/>
        </w:rPr>
        <w:t xml:space="preserve"> з закупівлі товарів на виконання заходів територіальної оборони. </w:t>
      </w:r>
    </w:p>
    <w:p w14:paraId="3A9F9800" w14:textId="147350EF" w:rsidR="00111AA8" w:rsidRPr="000677FB" w:rsidRDefault="00111AA8" w:rsidP="00F02B98">
      <w:pPr>
        <w:ind w:firstLine="567"/>
        <w:jc w:val="both"/>
        <w:rPr>
          <w:sz w:val="28"/>
          <w:szCs w:val="28"/>
          <w:lang w:val="uk-UA"/>
        </w:rPr>
      </w:pPr>
      <w:r w:rsidRPr="000677FB">
        <w:rPr>
          <w:sz w:val="28"/>
          <w:szCs w:val="28"/>
          <w:lang w:val="uk-UA"/>
        </w:rPr>
        <w:t xml:space="preserve">У зв’язку з неналежним виконанням договірних зобов’язань перед виконавчим комітетом Криворізької міської ради у 2024 році було складено та направлено контрагентам </w:t>
      </w:r>
      <w:r w:rsidRPr="000677FB">
        <w:rPr>
          <w:b/>
          <w:bCs/>
          <w:sz w:val="28"/>
          <w:szCs w:val="28"/>
          <w:lang w:val="uk-UA"/>
        </w:rPr>
        <w:t>14</w:t>
      </w:r>
      <w:r w:rsidRPr="000677FB">
        <w:rPr>
          <w:sz w:val="28"/>
          <w:szCs w:val="28"/>
          <w:lang w:val="uk-UA"/>
        </w:rPr>
        <w:t xml:space="preserve"> </w:t>
      </w:r>
      <w:r w:rsidRPr="000677FB">
        <w:rPr>
          <w:b/>
          <w:bCs/>
          <w:sz w:val="28"/>
          <w:szCs w:val="28"/>
          <w:lang w:val="uk-UA"/>
        </w:rPr>
        <w:t>претензій</w:t>
      </w:r>
      <w:r w:rsidRPr="000677FB">
        <w:rPr>
          <w:sz w:val="28"/>
          <w:szCs w:val="28"/>
          <w:lang w:val="uk-UA"/>
        </w:rPr>
        <w:t xml:space="preserve"> щодо невиконання, неналежного виконання ними зобов’язань та стягнення пені на загальну суму </w:t>
      </w:r>
      <w:bookmarkStart w:id="0" w:name="_Hlk155172673"/>
      <w:r w:rsidRPr="000677FB">
        <w:rPr>
          <w:b/>
          <w:bCs/>
          <w:sz w:val="28"/>
          <w:szCs w:val="28"/>
          <w:lang w:val="uk-UA"/>
        </w:rPr>
        <w:t>827 361,53 грн</w:t>
      </w:r>
      <w:bookmarkEnd w:id="0"/>
      <w:r w:rsidRPr="000677FB">
        <w:rPr>
          <w:sz w:val="28"/>
          <w:szCs w:val="28"/>
          <w:lang w:val="uk-UA"/>
        </w:rPr>
        <w:t xml:space="preserve">. За результатами розгляду цих претензій суб’єктами господарювання у добровільному порядку сплачено на розрахункові рахунки виконавчого комітету Криворізької міської ради </w:t>
      </w:r>
      <w:r w:rsidRPr="000677FB">
        <w:rPr>
          <w:b/>
          <w:bCs/>
          <w:sz w:val="28"/>
          <w:szCs w:val="28"/>
          <w:lang w:val="uk-UA"/>
        </w:rPr>
        <w:t>431 145,56 грн.</w:t>
      </w:r>
      <w:r w:rsidRPr="000677FB">
        <w:rPr>
          <w:sz w:val="28"/>
          <w:szCs w:val="28"/>
          <w:lang w:val="uk-UA"/>
        </w:rPr>
        <w:t xml:space="preserve"> Відносно несплачених сум штрафних санкцій </w:t>
      </w:r>
      <w:r w:rsidR="00AB782E" w:rsidRPr="000677FB">
        <w:rPr>
          <w:sz w:val="28"/>
          <w:szCs w:val="28"/>
          <w:lang w:val="uk-UA"/>
        </w:rPr>
        <w:t>опрацьовується питання претензійно-позовної роботи.</w:t>
      </w:r>
    </w:p>
    <w:p w14:paraId="179719C9" w14:textId="77777777" w:rsidR="00111AA8" w:rsidRPr="000677FB" w:rsidRDefault="00111AA8" w:rsidP="00111AA8">
      <w:pPr>
        <w:jc w:val="both"/>
        <w:rPr>
          <w:color w:val="002060"/>
          <w:sz w:val="28"/>
          <w:szCs w:val="28"/>
          <w:lang w:val="uk-UA"/>
        </w:rPr>
      </w:pPr>
      <w:r w:rsidRPr="000677FB">
        <w:rPr>
          <w:noProof/>
          <w:color w:val="002060"/>
          <w:sz w:val="28"/>
          <w:szCs w:val="28"/>
        </w:rPr>
        <w:lastRenderedPageBreak/>
        <w:drawing>
          <wp:inline distT="0" distB="0" distL="0" distR="0" wp14:anchorId="0F982C4F" wp14:editId="70EBAD9B">
            <wp:extent cx="6144895" cy="2684746"/>
            <wp:effectExtent l="0" t="0" r="8255" b="190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AC4E912" w14:textId="77777777" w:rsidR="00111AA8" w:rsidRPr="000677FB" w:rsidRDefault="000133BE" w:rsidP="00F02B98">
      <w:pPr>
        <w:ind w:firstLine="567"/>
        <w:jc w:val="both"/>
        <w:rPr>
          <w:sz w:val="28"/>
          <w:szCs w:val="28"/>
          <w:lang w:val="uk-UA"/>
        </w:rPr>
      </w:pPr>
      <w:r w:rsidRPr="000677FB">
        <w:rPr>
          <w:sz w:val="28"/>
          <w:szCs w:val="28"/>
          <w:lang w:val="uk-UA"/>
        </w:rPr>
        <w:t>У</w:t>
      </w:r>
      <w:r w:rsidR="007F5988" w:rsidRPr="000677FB">
        <w:rPr>
          <w:sz w:val="28"/>
          <w:szCs w:val="28"/>
          <w:lang w:val="uk-UA"/>
        </w:rPr>
        <w:t xml:space="preserve">правлінням </w:t>
      </w:r>
      <w:r w:rsidR="00111AA8" w:rsidRPr="000677FB">
        <w:rPr>
          <w:sz w:val="28"/>
          <w:szCs w:val="28"/>
          <w:lang w:val="uk-UA"/>
        </w:rPr>
        <w:t xml:space="preserve">постійно здійснюється правове забезпечення міжнародної співпраці з ключовими іноземними партнерами. Зокрема, проводиться активна робота щодо залучення міжнародної технічної допомоги, благодійної та гуманітарної допомоги нашому місту. З цією метою </w:t>
      </w:r>
      <w:r w:rsidR="00241AA0" w:rsidRPr="000677FB">
        <w:rPr>
          <w:sz w:val="28"/>
          <w:szCs w:val="28"/>
          <w:lang w:val="uk-UA"/>
        </w:rPr>
        <w:t xml:space="preserve">юридичним </w:t>
      </w:r>
      <w:r w:rsidR="000F7420" w:rsidRPr="000677FB">
        <w:rPr>
          <w:sz w:val="28"/>
          <w:szCs w:val="28"/>
          <w:lang w:val="uk-UA"/>
        </w:rPr>
        <w:t xml:space="preserve">управлінням </w:t>
      </w:r>
      <w:r w:rsidR="00111AA8" w:rsidRPr="000677FB">
        <w:rPr>
          <w:sz w:val="28"/>
          <w:szCs w:val="28"/>
          <w:lang w:val="uk-UA"/>
        </w:rPr>
        <w:t xml:space="preserve">розробляються та аналізуються меморандуми про співпрацю, рамкові угоди, договори про нерозголошення конфіденційної інформації (NDA), зокрема з Німецьким товариством міжнародного співробітництва (GIZ) Гмбх, Ротарі Клубом «Ліндесберг» (Швеція), Дитячим фондом Організації Об’єднаних Націй (UNICEF), Boreal Light GmbH, Goduni International GMBN, The HafenCity University Hamburg (HCU), Tertius AB, Кімонікс Інтернешнл Інк., Міністерством закордонних </w:t>
      </w:r>
      <w:sdt>
        <w:sdtPr>
          <w:rPr>
            <w:sz w:val="28"/>
            <w:szCs w:val="28"/>
            <w:lang w:val="uk-UA"/>
          </w:rPr>
          <w:tag w:val="goog_rdk_6"/>
          <w:id w:val="1452905581"/>
        </w:sdtPr>
        <w:sdtEndPr/>
        <w:sdtContent>
          <w:r w:rsidR="00111AA8" w:rsidRPr="000677FB">
            <w:rPr>
              <w:sz w:val="28"/>
              <w:szCs w:val="28"/>
              <w:lang w:val="uk-UA"/>
            </w:rPr>
            <w:t xml:space="preserve">та європейських </w:t>
          </w:r>
        </w:sdtContent>
      </w:sdt>
      <w:r w:rsidR="00111AA8" w:rsidRPr="000677FB">
        <w:rPr>
          <w:sz w:val="28"/>
          <w:szCs w:val="28"/>
          <w:lang w:val="uk-UA"/>
        </w:rPr>
        <w:t>справ</w:t>
      </w:r>
      <w:sdt>
        <w:sdtPr>
          <w:rPr>
            <w:sz w:val="28"/>
            <w:szCs w:val="28"/>
            <w:lang w:val="uk-UA"/>
          </w:rPr>
          <w:tag w:val="goog_rdk_7"/>
          <w:id w:val="2094195041"/>
        </w:sdtPr>
        <w:sdtEndPr/>
        <w:sdtContent>
          <w:r w:rsidR="00111AA8" w:rsidRPr="000677FB">
            <w:rPr>
              <w:sz w:val="28"/>
              <w:szCs w:val="28"/>
              <w:lang w:val="uk-UA"/>
            </w:rPr>
            <w:t>, оборони, співробітництва у сфері розвитку та зовнішньої торгівлі</w:t>
          </w:r>
        </w:sdtContent>
      </w:sdt>
      <w:r w:rsidR="00111AA8" w:rsidRPr="000677FB">
        <w:rPr>
          <w:sz w:val="28"/>
          <w:szCs w:val="28"/>
          <w:lang w:val="uk-UA"/>
        </w:rPr>
        <w:t xml:space="preserve"> Великого Герцогства Люксембург, Міністерством закордонних справ Чеської республіки, Шведсько-Українською Торговою Палатою у Скандинавії, Французським агенством розвитку (AFD), благодійними фондами «Право на захист», «Рокада», благодійною організацією «Благодійний фонд Євгена Пивоварова», громадськими організаціями «Ліга соціальних працівників України», «Школа енергоефективності», «Рух Олександра Педана JuniorsS», «Справжня надія», «Міжнародні системи реєстрації», «Розквіт урбаністична коаліція для України», Артемівською міською державною адміністрацією Донецькою області, приватним акціонерним товариством «Кривий Ріг Цемент», товариством з обмеженою відповідальністю «НЕО ЕКО Україна», Спрощеним акціонерним товариством «CONSTRUCTION-3D», Командуванням Сил територіальної оборони Збройних Сил України та ін.</w:t>
      </w:r>
    </w:p>
    <w:p w14:paraId="0F2E2219" w14:textId="627099F4" w:rsidR="00111AA8" w:rsidRPr="000677FB" w:rsidRDefault="00111AA8" w:rsidP="00F02B98">
      <w:pPr>
        <w:ind w:firstLine="567"/>
        <w:jc w:val="both"/>
        <w:rPr>
          <w:sz w:val="28"/>
          <w:szCs w:val="28"/>
          <w:lang w:val="uk-UA"/>
        </w:rPr>
      </w:pPr>
      <w:r w:rsidRPr="000677FB">
        <w:rPr>
          <w:sz w:val="28"/>
          <w:szCs w:val="28"/>
          <w:lang w:val="uk-UA"/>
        </w:rPr>
        <w:t xml:space="preserve">З метою реалізації енергоефективних заходів у місті Кривий Ріг </w:t>
      </w:r>
      <w:r w:rsidR="00DD13B6" w:rsidRPr="000677FB">
        <w:rPr>
          <w:sz w:val="28"/>
          <w:szCs w:val="28"/>
          <w:lang w:val="uk-UA"/>
        </w:rPr>
        <w:t>У</w:t>
      </w:r>
      <w:r w:rsidR="00F1757B" w:rsidRPr="000677FB">
        <w:rPr>
          <w:sz w:val="28"/>
          <w:szCs w:val="28"/>
          <w:lang w:val="uk-UA"/>
        </w:rPr>
        <w:t xml:space="preserve">правлінням </w:t>
      </w:r>
      <w:r w:rsidRPr="000677FB">
        <w:rPr>
          <w:sz w:val="28"/>
          <w:szCs w:val="28"/>
          <w:lang w:val="uk-UA"/>
        </w:rPr>
        <w:t xml:space="preserve"> підготовлено юридичні документи для укладення кредитного договору між Криворізькою міською радою та Публічним акціонерним товариством Акціонерний банк «Укргазбанк», а також угоди про нерозголошення інформації з обмеженим доступом між Публічним акціонерним товариством Акціонерний банк «Укргазбанк» та виконавчим комітетом Криворізької міської ради, опрацьовано проєкти вказаних договорів.</w:t>
      </w:r>
    </w:p>
    <w:p w14:paraId="77DEC24A" w14:textId="77777777" w:rsidR="00111AA8" w:rsidRPr="000677FB" w:rsidRDefault="009171AC" w:rsidP="00F02B98">
      <w:pPr>
        <w:ind w:firstLine="567"/>
        <w:jc w:val="both"/>
        <w:rPr>
          <w:sz w:val="28"/>
          <w:szCs w:val="28"/>
          <w:lang w:val="uk-UA"/>
        </w:rPr>
      </w:pPr>
      <w:r w:rsidRPr="000677FB">
        <w:rPr>
          <w:sz w:val="28"/>
          <w:szCs w:val="28"/>
          <w:lang w:val="uk-UA"/>
        </w:rPr>
        <w:t>Управлінням</w:t>
      </w:r>
      <w:r w:rsidR="00111AA8" w:rsidRPr="000677FB">
        <w:rPr>
          <w:sz w:val="28"/>
          <w:szCs w:val="28"/>
          <w:lang w:val="uk-UA"/>
        </w:rPr>
        <w:t xml:space="preserve"> здійснено повний юридичний супровід реалізації проєкту «Просування енергоефективності та імплементації Директиви ЄС про енергоефективність в Україні» у Криворізькій міській територіальній громаді в </w:t>
      </w:r>
      <w:r w:rsidR="00111AA8" w:rsidRPr="000677FB">
        <w:rPr>
          <w:sz w:val="28"/>
          <w:szCs w:val="28"/>
          <w:lang w:val="uk-UA"/>
        </w:rPr>
        <w:lastRenderedPageBreak/>
        <w:t>частині залучення міжнародної технічної допомоги (встановлення гібридної електростанції на  об’єкті «Комунальне некомерційне підприємство «Криворізька міська лікарня №17» Криворізької міської ради») у межах співпраці з Громадською організацією «Школа енергоефективності», підготовлено проєкт відповідного рішення Криворізької міської ради про погодження енергоефективного заходу, лист до Секретаріату Кабінету Міністрів України про державну перереєстрацію проекту міжнародної технічної допомоги в частині визначення реципієнтом проєкту Комунальне некомерційне підприємство «Криворізька міська лікарня №17» Криворізької міської ради, опрацьовано проєкт договору доручення з виконавцем проєкту.</w:t>
      </w:r>
    </w:p>
    <w:p w14:paraId="37D08D57" w14:textId="3EB3DCE7" w:rsidR="00111AA8" w:rsidRPr="000677FB" w:rsidRDefault="00111AA8" w:rsidP="00F02B98">
      <w:pPr>
        <w:ind w:firstLine="567"/>
        <w:jc w:val="both"/>
        <w:rPr>
          <w:sz w:val="28"/>
          <w:szCs w:val="28"/>
          <w:lang w:val="uk-UA"/>
        </w:rPr>
      </w:pPr>
      <w:r w:rsidRPr="000677FB">
        <w:rPr>
          <w:sz w:val="28"/>
          <w:szCs w:val="28"/>
          <w:lang w:val="uk-UA"/>
        </w:rPr>
        <w:t xml:space="preserve">Для забезпечення надійності міської системи водозабезпечення, підвищення якості надання послуг водопостачання у місті, зменшення наслідків гідроударів в результаті аварійних відключень від джерел електроенергії та припинення роботи Каховської гідроелектростанції, </w:t>
      </w:r>
      <w:r w:rsidR="003F4A99" w:rsidRPr="000677FB">
        <w:rPr>
          <w:sz w:val="28"/>
          <w:szCs w:val="28"/>
          <w:lang w:val="uk-UA"/>
        </w:rPr>
        <w:t>У</w:t>
      </w:r>
      <w:r w:rsidR="00234A09" w:rsidRPr="000677FB">
        <w:rPr>
          <w:sz w:val="28"/>
          <w:szCs w:val="28"/>
          <w:lang w:val="uk-UA"/>
        </w:rPr>
        <w:t>правлінням</w:t>
      </w:r>
      <w:r w:rsidRPr="000677FB">
        <w:rPr>
          <w:sz w:val="28"/>
          <w:szCs w:val="28"/>
          <w:lang w:val="uk-UA"/>
        </w:rPr>
        <w:t xml:space="preserve"> виконано юридичний супровід реалізації проєкту посилення та забезпечення водопостачання м. Кривий Ріг «Водопровід від Карачунівського водосховища до першого вузла через Західну насосну станцію» в рамках грантової угоди між Урядом України та Урядом Французької Республіки щодо сприяння відновленню та підтримці критичної інфраструктури та пріоритетних секторів економіки України, ратифікованої Законом України від 20.08.2024 №3906-ІХ, прийнято участь у онлайн</w:t>
      </w:r>
      <w:r w:rsidR="00F9220E" w:rsidRPr="000677FB">
        <w:rPr>
          <w:sz w:val="28"/>
          <w:szCs w:val="28"/>
          <w:lang w:val="uk-UA"/>
        </w:rPr>
        <w:t>-</w:t>
      </w:r>
      <w:r w:rsidRPr="000677FB">
        <w:rPr>
          <w:sz w:val="28"/>
          <w:szCs w:val="28"/>
          <w:lang w:val="uk-UA"/>
        </w:rPr>
        <w:t>нарадах з міжнародними партнерами.</w:t>
      </w:r>
    </w:p>
    <w:p w14:paraId="56CB1134" w14:textId="0F60E232" w:rsidR="00111AA8" w:rsidRPr="000677FB" w:rsidRDefault="00E44D85" w:rsidP="00F02B98">
      <w:pPr>
        <w:shd w:val="clear" w:color="auto" w:fill="FFFFFF"/>
        <w:spacing w:line="207" w:lineRule="atLeast"/>
        <w:ind w:firstLine="567"/>
        <w:jc w:val="both"/>
        <w:textAlignment w:val="baseline"/>
        <w:rPr>
          <w:sz w:val="28"/>
          <w:szCs w:val="28"/>
          <w:lang w:val="uk-UA"/>
        </w:rPr>
      </w:pPr>
      <w:r w:rsidRPr="000677FB">
        <w:rPr>
          <w:sz w:val="28"/>
          <w:szCs w:val="28"/>
          <w:lang w:val="uk-UA"/>
        </w:rPr>
        <w:t>Юридичним управлінням</w:t>
      </w:r>
      <w:r w:rsidR="009B17D6" w:rsidRPr="000677FB">
        <w:rPr>
          <w:sz w:val="28"/>
          <w:szCs w:val="28"/>
          <w:lang w:val="uk-UA"/>
        </w:rPr>
        <w:t xml:space="preserve"> підготовлено проєкт</w:t>
      </w:r>
      <w:r w:rsidR="00111AA8" w:rsidRPr="000677FB">
        <w:rPr>
          <w:sz w:val="28"/>
          <w:szCs w:val="28"/>
          <w:lang w:val="uk-UA"/>
        </w:rPr>
        <w:t xml:space="preserve"> договору оренди та відшкодування витрат з утримання нерухомого майна між Виконавчим комітетом Криворізької міської ради та Підприємством «Криворізький будинок Профспілок» Дніпропетровського обласного об’єднання профспілок (Міжгалузева рада профспілок) стосовно нерухомого майна за адресою: Дніпропетровська обл., м. Кривий Ріг, пр. Металургів, будинок 36А, - для забезпечення діяльності структурних підрозділів Виконавчого комітету Криворізької міської ради, а також проєкт попереднього договору приймання-передачі нерухомого майна до комунальної власності Криворізької міської територіальної громади між Виконавчим комітетом Криворізької міської ради та Дніпропетровським обласним об’єднанням профспілок стосовно безоплатної передачі до комунальної власності Криворізької міської територіальної громади частки нерухомого майна, розташованого у будівлі за адресою: Дніпропетровська обл., м. Кривий Ріг, пр-т. Металургів, будинок 36А, - здійснено юридичний супровід процесу підписання вищевказаних договорів.</w:t>
      </w:r>
    </w:p>
    <w:p w14:paraId="177051BF" w14:textId="59210E7B" w:rsidR="00815E19" w:rsidRPr="000677FB" w:rsidRDefault="005C5CAF" w:rsidP="00F02B98">
      <w:pPr>
        <w:shd w:val="clear" w:color="auto" w:fill="FFFFFF"/>
        <w:spacing w:line="207" w:lineRule="atLeast"/>
        <w:ind w:firstLine="567"/>
        <w:jc w:val="both"/>
        <w:textAlignment w:val="baseline"/>
        <w:rPr>
          <w:sz w:val="28"/>
          <w:szCs w:val="28"/>
          <w:lang w:val="uk-UA"/>
        </w:rPr>
      </w:pPr>
      <w:r w:rsidRPr="000677FB">
        <w:rPr>
          <w:sz w:val="28"/>
          <w:szCs w:val="28"/>
          <w:lang w:val="uk-UA"/>
        </w:rPr>
        <w:t xml:space="preserve">На початку 2024 року Управлінням прийнято участь у нормотворчій діяльності, а саме: </w:t>
      </w:r>
      <w:r w:rsidR="00A342B5" w:rsidRPr="000677FB">
        <w:rPr>
          <w:sz w:val="28"/>
          <w:szCs w:val="28"/>
          <w:lang w:val="uk-UA"/>
        </w:rPr>
        <w:t>підготовлено пропозиції до</w:t>
      </w:r>
      <w:r w:rsidRPr="000677FB">
        <w:rPr>
          <w:sz w:val="28"/>
          <w:szCs w:val="28"/>
          <w:lang w:val="uk-UA"/>
        </w:rPr>
        <w:t xml:space="preserve"> проєкту постанови Кабінету Міністрів України про внесення змін до постанов Кабінету Міністрів України від 28 березня 2018 р. № 391 і від 22 грудня 2023 р. № 1394 з метою реалізації проєкту створення Університетської клініки на базі цілісного майнового комплексу Комунального підприємства «Криворізька міська клінічна лікарня №2» Криворізької міської ради, переданого Національно</w:t>
      </w:r>
      <w:r w:rsidR="0086519A" w:rsidRPr="000677FB">
        <w:rPr>
          <w:sz w:val="28"/>
          <w:szCs w:val="28"/>
          <w:lang w:val="uk-UA"/>
        </w:rPr>
        <w:t>му</w:t>
      </w:r>
      <w:r w:rsidRPr="000677FB">
        <w:rPr>
          <w:sz w:val="28"/>
          <w:szCs w:val="28"/>
          <w:lang w:val="uk-UA"/>
        </w:rPr>
        <w:t xml:space="preserve"> університету охорони здоров’я України імені П.Л. Ш</w:t>
      </w:r>
      <w:r w:rsidR="0086519A" w:rsidRPr="000677FB">
        <w:rPr>
          <w:sz w:val="28"/>
          <w:szCs w:val="28"/>
          <w:lang w:val="uk-UA"/>
        </w:rPr>
        <w:t xml:space="preserve">упика, а також </w:t>
      </w:r>
      <w:r w:rsidR="00A342B5" w:rsidRPr="000677FB">
        <w:rPr>
          <w:sz w:val="28"/>
          <w:szCs w:val="28"/>
          <w:lang w:val="uk-UA"/>
        </w:rPr>
        <w:t>підготовлено пропозиції до</w:t>
      </w:r>
      <w:r w:rsidRPr="000677FB">
        <w:rPr>
          <w:sz w:val="28"/>
          <w:szCs w:val="28"/>
          <w:lang w:val="uk-UA"/>
        </w:rPr>
        <w:t xml:space="preserve"> проєкту постанови Кабінету Міністрів України про внесення змін до постанови Кабінету Міністрів України від 6 червня 2023 р. № 566 з метою реалізації експериментального проекту з будівництва магістральних водогонів у </w:t>
      </w:r>
      <w:r w:rsidRPr="000677FB">
        <w:rPr>
          <w:sz w:val="28"/>
          <w:szCs w:val="28"/>
          <w:lang w:val="uk-UA"/>
        </w:rPr>
        <w:lastRenderedPageBreak/>
        <w:t>зв’язку з необхідністю ліквідації негативних наслідків, пов’язаних із знищенням Каховської гідроелектростанції. Відповідні постанови Кабінету Міністрів України було прийнято 13 квітня 2024 року за №408 та 29 квітня 2024 року за №469.</w:t>
      </w:r>
    </w:p>
    <w:p w14:paraId="475FE67C" w14:textId="2F48D06A" w:rsidR="00111AA8" w:rsidRPr="000677FB" w:rsidRDefault="00111AA8" w:rsidP="00F02B98">
      <w:pPr>
        <w:ind w:firstLine="567"/>
        <w:jc w:val="both"/>
        <w:rPr>
          <w:sz w:val="28"/>
          <w:szCs w:val="28"/>
          <w:lang w:val="uk-UA"/>
        </w:rPr>
      </w:pPr>
      <w:r w:rsidRPr="000677FB">
        <w:rPr>
          <w:sz w:val="28"/>
          <w:szCs w:val="28"/>
          <w:lang w:val="uk-UA"/>
        </w:rPr>
        <w:t>Окрім того, посадовими особами</w:t>
      </w:r>
      <w:r w:rsidR="00EB5A70" w:rsidRPr="000677FB">
        <w:rPr>
          <w:sz w:val="28"/>
          <w:szCs w:val="28"/>
          <w:lang w:val="uk-UA"/>
        </w:rPr>
        <w:t xml:space="preserve"> юридичного управління</w:t>
      </w:r>
      <w:r w:rsidR="00775C62" w:rsidRPr="000677FB">
        <w:rPr>
          <w:sz w:val="28"/>
          <w:szCs w:val="28"/>
          <w:lang w:val="uk-UA"/>
        </w:rPr>
        <w:t xml:space="preserve"> </w:t>
      </w:r>
      <w:r w:rsidRPr="000677FB">
        <w:rPr>
          <w:sz w:val="28"/>
          <w:szCs w:val="28"/>
          <w:lang w:val="uk-UA"/>
        </w:rPr>
        <w:t xml:space="preserve">надано правову допомогу управлінню капітального будівництва виконкому міської ради під час проведення Східним офісом Держаудитслужби ревізії та перевірки закупівель. Зокрема, у відповідності до діючих нормативно-правових актів сформовано правомірну правову позицію щодо законності здійснення заходів державного фінансового контролю, </w:t>
      </w:r>
      <w:r w:rsidR="00322562" w:rsidRPr="000677FB">
        <w:rPr>
          <w:sz w:val="28"/>
          <w:szCs w:val="28"/>
          <w:lang w:val="uk-UA"/>
        </w:rPr>
        <w:t>стосовно</w:t>
      </w:r>
      <w:r w:rsidRPr="000677FB">
        <w:rPr>
          <w:sz w:val="28"/>
          <w:szCs w:val="28"/>
          <w:lang w:val="uk-UA"/>
        </w:rPr>
        <w:t xml:space="preserve"> проведення контрольних обмірів за об’єктами в межах ревізії, а також надано відповіді на запити правоохоронних органів та посадових осіб органу державного фінансового контролю стосовно надання документів та інформації в межах вказаних перевірок.</w:t>
      </w:r>
    </w:p>
    <w:p w14:paraId="451A00C8" w14:textId="5228CB8C" w:rsidR="00111AA8" w:rsidRPr="000677FB" w:rsidRDefault="00111AA8" w:rsidP="00F02B98">
      <w:pPr>
        <w:ind w:firstLine="567"/>
        <w:jc w:val="both"/>
        <w:rPr>
          <w:sz w:val="28"/>
          <w:szCs w:val="28"/>
          <w:lang w:val="uk-UA"/>
        </w:rPr>
      </w:pPr>
      <w:r w:rsidRPr="000677FB">
        <w:rPr>
          <w:sz w:val="28"/>
          <w:szCs w:val="28"/>
          <w:lang w:val="uk-UA"/>
        </w:rPr>
        <w:t xml:space="preserve">Протягом І півріччя 2024 року </w:t>
      </w:r>
      <w:r w:rsidR="00B278FE" w:rsidRPr="000677FB">
        <w:rPr>
          <w:sz w:val="28"/>
          <w:szCs w:val="28"/>
          <w:lang w:val="uk-UA"/>
        </w:rPr>
        <w:t>У</w:t>
      </w:r>
      <w:r w:rsidR="00B9327D" w:rsidRPr="000677FB">
        <w:rPr>
          <w:sz w:val="28"/>
          <w:szCs w:val="28"/>
          <w:lang w:val="uk-UA"/>
        </w:rPr>
        <w:t>правлінням</w:t>
      </w:r>
      <w:r w:rsidRPr="000677FB">
        <w:rPr>
          <w:sz w:val="28"/>
          <w:szCs w:val="28"/>
          <w:lang w:val="uk-UA"/>
        </w:rPr>
        <w:t xml:space="preserve"> приймалася участь у засіданнях робочої підгрупи з надходження акцизного податку за участі представників ДПС, патрульної поліції, відділень Національної поліції у м. Кривому Розі та робочої підгрупи з питань надходжень з неподаткових платежів за участі представників державної виконавчої служби.</w:t>
      </w:r>
    </w:p>
    <w:p w14:paraId="02159AAC" w14:textId="456A0D85" w:rsidR="00563B94" w:rsidRPr="000677FB" w:rsidRDefault="00563B94" w:rsidP="00F02B98">
      <w:pPr>
        <w:ind w:firstLine="567"/>
        <w:jc w:val="both"/>
        <w:rPr>
          <w:sz w:val="28"/>
          <w:szCs w:val="28"/>
          <w:lang w:val="uk-UA"/>
        </w:rPr>
      </w:pPr>
      <w:r w:rsidRPr="000677FB">
        <w:rPr>
          <w:sz w:val="28"/>
          <w:szCs w:val="28"/>
          <w:lang w:val="uk-UA"/>
        </w:rPr>
        <w:t xml:space="preserve">Крім того, </w:t>
      </w:r>
      <w:r w:rsidR="00324F1C" w:rsidRPr="000677FB">
        <w:rPr>
          <w:sz w:val="28"/>
          <w:szCs w:val="28"/>
          <w:lang w:val="uk-UA"/>
        </w:rPr>
        <w:t xml:space="preserve">Управлінням забезпечено </w:t>
      </w:r>
      <w:r w:rsidR="006E6BDB" w:rsidRPr="000677FB">
        <w:rPr>
          <w:sz w:val="28"/>
          <w:szCs w:val="28"/>
          <w:lang w:val="uk-UA"/>
        </w:rPr>
        <w:t>участь у засіданнях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w:t>
      </w:r>
    </w:p>
    <w:p w14:paraId="119CDB6A" w14:textId="77777777" w:rsidR="00153290" w:rsidRPr="000677FB" w:rsidRDefault="00111AA8" w:rsidP="00F02B98">
      <w:pPr>
        <w:ind w:firstLine="567"/>
        <w:jc w:val="both"/>
        <w:rPr>
          <w:sz w:val="28"/>
          <w:szCs w:val="28"/>
          <w:lang w:val="uk-UA"/>
        </w:rPr>
      </w:pPr>
      <w:r w:rsidRPr="000677FB">
        <w:rPr>
          <w:sz w:val="28"/>
          <w:szCs w:val="28"/>
          <w:lang w:val="uk-UA"/>
        </w:rPr>
        <w:t>Також протягом 2024 року</w:t>
      </w:r>
      <w:r w:rsidR="0052235D" w:rsidRPr="000677FB">
        <w:rPr>
          <w:sz w:val="28"/>
          <w:szCs w:val="28"/>
          <w:lang w:val="uk-UA"/>
        </w:rPr>
        <w:t xml:space="preserve"> </w:t>
      </w:r>
      <w:r w:rsidR="00322013" w:rsidRPr="000677FB">
        <w:rPr>
          <w:sz w:val="28"/>
          <w:szCs w:val="28"/>
          <w:lang w:val="uk-UA"/>
        </w:rPr>
        <w:t>юридичним управлінням</w:t>
      </w:r>
      <w:r w:rsidR="0052235D" w:rsidRPr="000677FB">
        <w:rPr>
          <w:sz w:val="28"/>
          <w:szCs w:val="28"/>
          <w:lang w:val="uk-UA"/>
        </w:rPr>
        <w:t xml:space="preserve"> </w:t>
      </w:r>
      <w:r w:rsidRPr="000677FB">
        <w:rPr>
          <w:sz w:val="28"/>
          <w:szCs w:val="28"/>
          <w:lang w:val="uk-UA"/>
        </w:rPr>
        <w:t>направлялися до Державної прикордонної служби України повідомлення про службові відрядження посадових осіб виконавчого комітету Криворізької міської ради, здійснено надання правової допомоги та роз’яснень відділам, управлінням, департаментам виконавчого комітету Криворізької міської ради у межах наданих законом повноважень та діючих норм законодавства України.</w:t>
      </w:r>
    </w:p>
    <w:p w14:paraId="499A346B" w14:textId="452047AF" w:rsidR="006C42CD" w:rsidRPr="000677FB" w:rsidRDefault="0006696B" w:rsidP="006C42CD">
      <w:pPr>
        <w:ind w:firstLine="567"/>
        <w:jc w:val="both"/>
        <w:rPr>
          <w:sz w:val="28"/>
          <w:szCs w:val="28"/>
          <w:lang w:val="uk-UA"/>
        </w:rPr>
      </w:pPr>
      <w:r w:rsidRPr="000677FB">
        <w:rPr>
          <w:sz w:val="28"/>
          <w:szCs w:val="28"/>
          <w:lang w:val="uk-UA"/>
        </w:rPr>
        <w:t>В</w:t>
      </w:r>
      <w:r w:rsidR="00A212A9" w:rsidRPr="000677FB">
        <w:rPr>
          <w:sz w:val="28"/>
          <w:szCs w:val="28"/>
          <w:lang w:val="uk-UA"/>
        </w:rPr>
        <w:t xml:space="preserve"> 202</w:t>
      </w:r>
      <w:r w:rsidR="006313B4" w:rsidRPr="000677FB">
        <w:rPr>
          <w:sz w:val="28"/>
          <w:szCs w:val="28"/>
          <w:lang w:val="uk-UA"/>
        </w:rPr>
        <w:t>4</w:t>
      </w:r>
      <w:r w:rsidRPr="000677FB">
        <w:rPr>
          <w:sz w:val="28"/>
          <w:szCs w:val="28"/>
          <w:lang w:val="uk-UA"/>
        </w:rPr>
        <w:t xml:space="preserve"> році</w:t>
      </w:r>
      <w:r w:rsidR="00A212A9" w:rsidRPr="000677FB">
        <w:rPr>
          <w:sz w:val="28"/>
          <w:szCs w:val="28"/>
          <w:lang w:val="uk-UA"/>
        </w:rPr>
        <w:t xml:space="preserve"> </w:t>
      </w:r>
      <w:r w:rsidR="00A72F50" w:rsidRPr="000677FB">
        <w:rPr>
          <w:sz w:val="28"/>
          <w:szCs w:val="28"/>
          <w:lang w:val="uk-UA"/>
        </w:rPr>
        <w:t>спеціалістами юридичного управління</w:t>
      </w:r>
      <w:r w:rsidR="00A212A9" w:rsidRPr="000677FB">
        <w:rPr>
          <w:sz w:val="28"/>
          <w:szCs w:val="28"/>
          <w:lang w:val="uk-UA"/>
        </w:rPr>
        <w:t xml:space="preserve"> забезпечувався аналіз та доведення до відома структурних підрозділів виконкому міської ради прийняття законодавчих актів та змін до них зумовлених запровадженням на території України воєнного стану.</w:t>
      </w:r>
      <w:r w:rsidR="006C42CD" w:rsidRPr="000677FB">
        <w:rPr>
          <w:sz w:val="28"/>
          <w:szCs w:val="28"/>
          <w:lang w:val="uk-UA"/>
        </w:rPr>
        <w:t xml:space="preserve"> Управління постійно долучається до опрацювання та вирішення актуальних питань діяльності міської ради і її виконкому, що порушуються на нарадах, засіданнях, бере безпосередню участь у розробці перспективних напрямів і планів розвитку міста шляхом унесення пропозицій, напрацьованих на підставі вивчення та аналізу чинного законодавства. </w:t>
      </w:r>
    </w:p>
    <w:p w14:paraId="3BD9CE94" w14:textId="77777777" w:rsidR="00A212A9" w:rsidRPr="000677FB" w:rsidRDefault="00A212A9" w:rsidP="00A212A9">
      <w:pPr>
        <w:spacing w:line="240" w:lineRule="atLeast"/>
        <w:ind w:firstLine="567"/>
        <w:jc w:val="both"/>
        <w:rPr>
          <w:sz w:val="28"/>
          <w:szCs w:val="28"/>
          <w:lang w:val="uk-UA" w:eastAsia="uk-UA"/>
        </w:rPr>
      </w:pPr>
      <w:r w:rsidRPr="000677FB">
        <w:rPr>
          <w:sz w:val="28"/>
          <w:szCs w:val="28"/>
          <w:lang w:val="uk-UA" w:eastAsia="uk-UA"/>
        </w:rPr>
        <w:t xml:space="preserve">Здійснюється </w:t>
      </w:r>
      <w:r w:rsidRPr="000677FB">
        <w:rPr>
          <w:sz w:val="28"/>
          <w:szCs w:val="28"/>
          <w:lang w:val="uk-UA"/>
        </w:rPr>
        <w:t xml:space="preserve">розгляд </w:t>
      </w:r>
      <w:r w:rsidRPr="000677FB">
        <w:rPr>
          <w:sz w:val="28"/>
          <w:szCs w:val="28"/>
          <w:lang w:val="uk-UA" w:eastAsia="uk-UA"/>
        </w:rPr>
        <w:t>проєктів рішень, що вносяться на розгляд міської ради та її виконкому, розпоряджень міського голови</w:t>
      </w:r>
      <w:r w:rsidRPr="000677FB">
        <w:rPr>
          <w:sz w:val="28"/>
          <w:szCs w:val="28"/>
          <w:lang w:val="uk-UA"/>
        </w:rPr>
        <w:t xml:space="preserve"> та їх аналіз. </w:t>
      </w:r>
      <w:r w:rsidR="00AA7A5E" w:rsidRPr="000677FB">
        <w:rPr>
          <w:sz w:val="28"/>
          <w:szCs w:val="28"/>
          <w:lang w:val="uk-UA"/>
        </w:rPr>
        <w:t>У</w:t>
      </w:r>
      <w:r w:rsidRPr="000677FB">
        <w:rPr>
          <w:sz w:val="28"/>
          <w:szCs w:val="28"/>
          <w:lang w:val="uk-UA"/>
        </w:rPr>
        <w:t>правлінням надавалась велика кількість юридичних консультацій, пов’язаних із діяльністю органів місцевого самоврядування у воєнний час</w:t>
      </w:r>
      <w:r w:rsidRPr="000677FB">
        <w:rPr>
          <w:sz w:val="28"/>
          <w:szCs w:val="28"/>
          <w:lang w:val="uk-UA" w:eastAsia="uk-UA"/>
        </w:rPr>
        <w:t>.</w:t>
      </w:r>
    </w:p>
    <w:p w14:paraId="2DD6D836" w14:textId="77777777" w:rsidR="005A2DA1" w:rsidRPr="000677FB" w:rsidRDefault="005A2DA1" w:rsidP="005A2DA1">
      <w:pPr>
        <w:ind w:firstLine="708"/>
        <w:jc w:val="both"/>
        <w:rPr>
          <w:sz w:val="28"/>
          <w:szCs w:val="28"/>
          <w:lang w:val="uk-UA"/>
        </w:rPr>
      </w:pPr>
      <w:r w:rsidRPr="000677FB">
        <w:rPr>
          <w:sz w:val="28"/>
          <w:szCs w:val="28"/>
          <w:lang w:val="uk-UA"/>
        </w:rPr>
        <w:t>Підготовлено ґрунтовні відповіді на звернення громадян, запити про доступ до публічної інформації, адвокатські та депутатські  запити, що надійшли на адресу виконавчого комітету міської ради.</w:t>
      </w:r>
    </w:p>
    <w:p w14:paraId="26315E4B" w14:textId="77777777" w:rsidR="005A2DA1" w:rsidRPr="000677FB" w:rsidRDefault="003D3DF9" w:rsidP="005A2DA1">
      <w:pPr>
        <w:ind w:firstLine="708"/>
        <w:jc w:val="both"/>
        <w:rPr>
          <w:b/>
          <w:sz w:val="28"/>
          <w:szCs w:val="28"/>
          <w:lang w:val="uk-UA"/>
        </w:rPr>
      </w:pPr>
      <w:r w:rsidRPr="000677FB">
        <w:rPr>
          <w:sz w:val="28"/>
          <w:szCs w:val="28"/>
          <w:lang w:val="uk-UA"/>
        </w:rPr>
        <w:t>П</w:t>
      </w:r>
      <w:r w:rsidR="005941F1" w:rsidRPr="000677FB">
        <w:rPr>
          <w:sz w:val="28"/>
          <w:szCs w:val="28"/>
          <w:lang w:val="uk-UA"/>
        </w:rPr>
        <w:t>осадовими особами</w:t>
      </w:r>
      <w:r w:rsidR="00366B7F" w:rsidRPr="000677FB">
        <w:rPr>
          <w:sz w:val="28"/>
          <w:szCs w:val="28"/>
          <w:lang w:val="uk-UA"/>
        </w:rPr>
        <w:t xml:space="preserve"> управління </w:t>
      </w:r>
      <w:r w:rsidR="005C3914" w:rsidRPr="000677FB">
        <w:rPr>
          <w:sz w:val="28"/>
          <w:szCs w:val="28"/>
          <w:lang w:val="uk-UA"/>
        </w:rPr>
        <w:t>забезпечен</w:t>
      </w:r>
      <w:r w:rsidR="00D75F6C" w:rsidRPr="000677FB">
        <w:rPr>
          <w:sz w:val="28"/>
          <w:szCs w:val="28"/>
          <w:lang w:val="uk-UA"/>
        </w:rPr>
        <w:t>о</w:t>
      </w:r>
      <w:r w:rsidR="002C78CC" w:rsidRPr="000677FB">
        <w:rPr>
          <w:sz w:val="28"/>
          <w:szCs w:val="28"/>
          <w:lang w:val="uk-UA"/>
        </w:rPr>
        <w:t xml:space="preserve"> </w:t>
      </w:r>
      <w:r w:rsidR="00D75F6C" w:rsidRPr="000677FB">
        <w:rPr>
          <w:sz w:val="28"/>
          <w:szCs w:val="28"/>
          <w:lang w:val="uk-UA"/>
        </w:rPr>
        <w:t xml:space="preserve">надання </w:t>
      </w:r>
      <w:r w:rsidR="005A2DA1" w:rsidRPr="000677FB">
        <w:rPr>
          <w:sz w:val="28"/>
          <w:szCs w:val="28"/>
          <w:lang w:val="uk-UA"/>
        </w:rPr>
        <w:t xml:space="preserve"> юридичних консультацій та роз’яснень, надано</w:t>
      </w:r>
      <w:r w:rsidR="005A2DA1" w:rsidRPr="000677FB">
        <w:rPr>
          <w:b/>
          <w:sz w:val="28"/>
          <w:szCs w:val="28"/>
          <w:lang w:val="uk-UA"/>
        </w:rPr>
        <w:t xml:space="preserve"> 18</w:t>
      </w:r>
      <w:r w:rsidR="005A2DA1" w:rsidRPr="000677FB">
        <w:rPr>
          <w:sz w:val="28"/>
          <w:szCs w:val="28"/>
          <w:lang w:val="uk-UA"/>
        </w:rPr>
        <w:t xml:space="preserve"> юридичних висновків до Постійної комісії з питань законності, правопорядку, депутатської діяльності, регламенту, етики та свободи слова щодо розгляду електронних петицій. Організовано та проведено навчання з керівниками структурних підрозділів виконавчого </w:t>
      </w:r>
      <w:r w:rsidR="005A2DA1" w:rsidRPr="000677FB">
        <w:rPr>
          <w:sz w:val="28"/>
          <w:szCs w:val="28"/>
          <w:lang w:val="uk-UA"/>
        </w:rPr>
        <w:lastRenderedPageBreak/>
        <w:t xml:space="preserve">комітету міської ради стосовно проблемних питань, які виникають при виконання посадовими особами своїх обов’язків. </w:t>
      </w:r>
    </w:p>
    <w:p w14:paraId="15CB1908" w14:textId="33C0E69B" w:rsidR="005A2DA1" w:rsidRPr="000677FB" w:rsidRDefault="005A2DA1" w:rsidP="00F02B98">
      <w:pPr>
        <w:ind w:firstLine="567"/>
        <w:jc w:val="both"/>
        <w:rPr>
          <w:sz w:val="28"/>
          <w:szCs w:val="28"/>
          <w:lang w:val="uk-UA"/>
        </w:rPr>
      </w:pPr>
      <w:r w:rsidRPr="000677FB">
        <w:rPr>
          <w:sz w:val="28"/>
          <w:szCs w:val="28"/>
          <w:lang w:val="uk-UA"/>
        </w:rPr>
        <w:t xml:space="preserve">Протягом 2024 року посадові особи </w:t>
      </w:r>
      <w:r w:rsidR="001D1804" w:rsidRPr="000677FB">
        <w:rPr>
          <w:sz w:val="28"/>
          <w:szCs w:val="28"/>
          <w:lang w:val="uk-UA"/>
        </w:rPr>
        <w:t>управління</w:t>
      </w:r>
      <w:r w:rsidRPr="000677FB">
        <w:rPr>
          <w:sz w:val="28"/>
          <w:szCs w:val="28"/>
          <w:lang w:val="uk-UA"/>
        </w:rPr>
        <w:t xml:space="preserve">  </w:t>
      </w:r>
      <w:r w:rsidR="001D1804" w:rsidRPr="000677FB">
        <w:rPr>
          <w:sz w:val="28"/>
          <w:szCs w:val="28"/>
          <w:lang w:val="uk-UA"/>
        </w:rPr>
        <w:t>в</w:t>
      </w:r>
      <w:r w:rsidRPr="000677FB">
        <w:rPr>
          <w:sz w:val="28"/>
          <w:szCs w:val="28"/>
          <w:lang w:val="uk-UA"/>
        </w:rPr>
        <w:t xml:space="preserve"> </w:t>
      </w:r>
      <w:r w:rsidRPr="000677FB">
        <w:rPr>
          <w:b/>
          <w:sz w:val="28"/>
          <w:szCs w:val="28"/>
          <w:lang w:val="uk-UA"/>
        </w:rPr>
        <w:t>105</w:t>
      </w:r>
      <w:r w:rsidRPr="000677FB">
        <w:rPr>
          <w:sz w:val="28"/>
          <w:szCs w:val="28"/>
          <w:lang w:val="uk-UA"/>
        </w:rPr>
        <w:t xml:space="preserve"> випадках були залучені для здійснення юридичного супроводу під час проведення правоохоронними органами слідчих дій</w:t>
      </w:r>
      <w:r w:rsidRPr="000677FB">
        <w:rPr>
          <w:b/>
          <w:sz w:val="28"/>
          <w:szCs w:val="28"/>
          <w:lang w:val="uk-UA"/>
        </w:rPr>
        <w:t xml:space="preserve"> </w:t>
      </w:r>
      <w:r w:rsidRPr="000677FB">
        <w:rPr>
          <w:sz w:val="28"/>
          <w:szCs w:val="28"/>
          <w:lang w:val="uk-UA"/>
        </w:rPr>
        <w:t>та заходів забезпечення кримінального провадження (обшук, огляд, тимчасовий доступ до речей і документів) у департаментах, управліннях та відділах виконкому міської ради.</w:t>
      </w:r>
    </w:p>
    <w:p w14:paraId="2B8C04AD" w14:textId="74E88D8F" w:rsidR="005A2DA1" w:rsidRPr="000677FB" w:rsidRDefault="009530A3" w:rsidP="00F02B98">
      <w:pPr>
        <w:ind w:firstLine="567"/>
        <w:jc w:val="both"/>
        <w:rPr>
          <w:sz w:val="28"/>
          <w:szCs w:val="28"/>
          <w:lang w:val="uk-UA"/>
        </w:rPr>
      </w:pPr>
      <w:r w:rsidRPr="000677FB">
        <w:rPr>
          <w:sz w:val="28"/>
          <w:szCs w:val="28"/>
          <w:lang w:val="uk-UA"/>
        </w:rPr>
        <w:t>П</w:t>
      </w:r>
      <w:r w:rsidR="005A2DA1" w:rsidRPr="000677FB">
        <w:rPr>
          <w:sz w:val="28"/>
          <w:szCs w:val="28"/>
          <w:lang w:val="uk-UA"/>
        </w:rPr>
        <w:t xml:space="preserve">осадовими особами </w:t>
      </w:r>
      <w:r w:rsidR="003F007E" w:rsidRPr="000677FB">
        <w:rPr>
          <w:sz w:val="28"/>
          <w:szCs w:val="28"/>
          <w:lang w:val="uk-UA"/>
        </w:rPr>
        <w:t>юридичного управління</w:t>
      </w:r>
      <w:r w:rsidR="005A2DA1" w:rsidRPr="000677FB">
        <w:rPr>
          <w:sz w:val="28"/>
          <w:szCs w:val="28"/>
          <w:lang w:val="uk-UA"/>
        </w:rPr>
        <w:t xml:space="preserve"> прийнято участь у засіданнях постійних та тимчасових комісій виконкому міської ради,</w:t>
      </w:r>
      <w:r w:rsidR="00832C1E" w:rsidRPr="000677FB">
        <w:rPr>
          <w:sz w:val="28"/>
          <w:szCs w:val="28"/>
          <w:lang w:val="uk-UA"/>
        </w:rPr>
        <w:t xml:space="preserve"> </w:t>
      </w:r>
      <w:r w:rsidR="005A2DA1" w:rsidRPr="000677FB">
        <w:rPr>
          <w:sz w:val="28"/>
          <w:szCs w:val="28"/>
          <w:lang w:val="uk-UA"/>
        </w:rPr>
        <w:t>архітектурно-містобудівної ради, громадських слуханнях щодо проведення заходів повторного відстеження результативної діяльності регуляторних актів (рішення КМР від 26.05.2021 №506 «Про встановлення ставок плати за землю та пільг із земельного податку на території м. Кривого Рогу» та від 28.04.2010 №3816 «Про затвердження Положення про порядок надання ритуальних послуг на території міста Кривого Рогу»), врахування громадських інтересів під час розроблення проєктів містобудівної документації на місцевому рівні.</w:t>
      </w:r>
    </w:p>
    <w:p w14:paraId="359C203D" w14:textId="77528A8B" w:rsidR="00171436" w:rsidRPr="000677FB" w:rsidRDefault="00862D38" w:rsidP="00D15E59">
      <w:pPr>
        <w:ind w:firstLine="567"/>
        <w:jc w:val="both"/>
        <w:rPr>
          <w:sz w:val="28"/>
          <w:szCs w:val="28"/>
          <w:lang w:val="uk-UA"/>
        </w:rPr>
      </w:pPr>
      <w:r w:rsidRPr="000677FB">
        <w:rPr>
          <w:sz w:val="28"/>
          <w:szCs w:val="28"/>
          <w:lang w:val="uk-UA"/>
        </w:rPr>
        <w:t>Також, з метою надання фахових висновків з питань найменування та перейменування об’єктів топоніміки, увічнення пам’яті видатних діячів і подій; на виконання рішення міської ради від 30.08.2023 №2193 «Про затвердження Положення про найменування (перейменування) об’єктів топоніміки, присвоєння юридичним особам та об’єктам комунальної власності імен (псевдонімів) фізичних осіб, ювілейних та святкових дат, назв і дат історичних подій на території Криворізької міської територіальної громади</w:t>
      </w:r>
      <w:r w:rsidR="00E21C21" w:rsidRPr="000677FB">
        <w:rPr>
          <w:sz w:val="28"/>
          <w:szCs w:val="28"/>
          <w:lang w:val="uk-UA"/>
        </w:rPr>
        <w:t>»</w:t>
      </w:r>
      <w:r w:rsidR="00D30E9A" w:rsidRPr="000677FB">
        <w:rPr>
          <w:sz w:val="28"/>
          <w:szCs w:val="28"/>
          <w:lang w:val="uk-UA"/>
        </w:rPr>
        <w:t xml:space="preserve"> </w:t>
      </w:r>
      <w:r w:rsidRPr="000677FB">
        <w:rPr>
          <w:sz w:val="28"/>
          <w:szCs w:val="28"/>
          <w:lang w:val="uk-UA"/>
        </w:rPr>
        <w:t>приймалась участь</w:t>
      </w:r>
      <w:r w:rsidR="009530A3" w:rsidRPr="000677FB">
        <w:rPr>
          <w:sz w:val="28"/>
          <w:szCs w:val="28"/>
          <w:lang w:val="uk-UA"/>
        </w:rPr>
        <w:t xml:space="preserve"> </w:t>
      </w:r>
      <w:r w:rsidRPr="000677FB">
        <w:rPr>
          <w:sz w:val="28"/>
          <w:szCs w:val="28"/>
          <w:lang w:val="uk-UA"/>
        </w:rPr>
        <w:t xml:space="preserve"> у засіданнях міської комісії з питань найменування (перейменування) об’єктів топоніміки, присвоєння юридичним особам та об’єктам комунальної власності імен (псевдонімів) фізичних осіб, ювілейних та святкових дат, назв і дат історичних подій на території Криворізької міської територіальної громади.</w:t>
      </w:r>
    </w:p>
    <w:p w14:paraId="418D9143" w14:textId="77777777" w:rsidR="00F95D77" w:rsidRPr="000677FB" w:rsidRDefault="00A212A9" w:rsidP="00A212A9">
      <w:pPr>
        <w:shd w:val="clear" w:color="auto" w:fill="FFFFFF"/>
        <w:tabs>
          <w:tab w:val="left" w:pos="797"/>
        </w:tabs>
        <w:ind w:firstLine="567"/>
        <w:jc w:val="both"/>
        <w:rPr>
          <w:rFonts w:eastAsia="Times New Roman CYR"/>
          <w:sz w:val="28"/>
          <w:szCs w:val="28"/>
          <w:lang w:val="uk-UA"/>
        </w:rPr>
      </w:pPr>
      <w:r w:rsidRPr="000677FB">
        <w:rPr>
          <w:rFonts w:eastAsia="Times New Roman CYR"/>
          <w:sz w:val="28"/>
          <w:szCs w:val="28"/>
          <w:lang w:val="uk-UA"/>
        </w:rPr>
        <w:t>Протягом 202</w:t>
      </w:r>
      <w:r w:rsidR="00BF2954" w:rsidRPr="000677FB">
        <w:rPr>
          <w:rFonts w:eastAsia="Times New Roman CYR"/>
          <w:sz w:val="28"/>
          <w:szCs w:val="28"/>
          <w:lang w:val="uk-UA"/>
        </w:rPr>
        <w:t>4</w:t>
      </w:r>
      <w:r w:rsidRPr="000677FB">
        <w:rPr>
          <w:rFonts w:eastAsia="Times New Roman CYR"/>
          <w:sz w:val="28"/>
          <w:szCs w:val="28"/>
          <w:lang w:val="uk-UA"/>
        </w:rPr>
        <w:t xml:space="preserve"> року Управління</w:t>
      </w:r>
      <w:r w:rsidR="00E77BE2" w:rsidRPr="000677FB">
        <w:rPr>
          <w:rFonts w:eastAsia="Times New Roman CYR"/>
          <w:sz w:val="28"/>
          <w:szCs w:val="28"/>
          <w:lang w:val="uk-UA"/>
        </w:rPr>
        <w:t>м здійснювалась діяльність, спрямована</w:t>
      </w:r>
      <w:r w:rsidRPr="000677FB">
        <w:rPr>
          <w:rFonts w:eastAsia="Times New Roman CYR"/>
          <w:sz w:val="28"/>
          <w:szCs w:val="28"/>
          <w:lang w:val="uk-UA"/>
        </w:rPr>
        <w:t xml:space="preserve"> на захист інтересів</w:t>
      </w:r>
      <w:r w:rsidR="00BF2954" w:rsidRPr="000677FB">
        <w:rPr>
          <w:rFonts w:eastAsia="Times New Roman CYR"/>
          <w:sz w:val="28"/>
          <w:szCs w:val="28"/>
          <w:lang w:val="uk-UA"/>
        </w:rPr>
        <w:t xml:space="preserve"> Криворізької міської </w:t>
      </w:r>
      <w:r w:rsidRPr="000677FB">
        <w:rPr>
          <w:rFonts w:eastAsia="Times New Roman CYR"/>
          <w:sz w:val="28"/>
          <w:szCs w:val="28"/>
          <w:lang w:val="uk-UA"/>
        </w:rPr>
        <w:t xml:space="preserve"> територіальної громади в особі міської ради та її виконавчих органів в судовому порядку шляхом ведення позовної та представницької роботи. </w:t>
      </w:r>
    </w:p>
    <w:p w14:paraId="6F0A8DA8" w14:textId="2AE1FF76" w:rsidR="000B5A45" w:rsidRPr="000677FB" w:rsidRDefault="00A212A9" w:rsidP="00A212A9">
      <w:pPr>
        <w:shd w:val="clear" w:color="auto" w:fill="FFFFFF"/>
        <w:tabs>
          <w:tab w:val="left" w:pos="797"/>
        </w:tabs>
        <w:ind w:firstLine="567"/>
        <w:jc w:val="both"/>
        <w:rPr>
          <w:rFonts w:eastAsia="Times New Roman CYR"/>
          <w:sz w:val="28"/>
          <w:szCs w:val="28"/>
          <w:lang w:val="uk-UA"/>
        </w:rPr>
      </w:pPr>
      <w:r w:rsidRPr="000677FB">
        <w:rPr>
          <w:rFonts w:eastAsia="Times New Roman CYR"/>
          <w:sz w:val="28"/>
          <w:szCs w:val="28"/>
          <w:lang w:val="uk-UA"/>
        </w:rPr>
        <w:t>З</w:t>
      </w:r>
      <w:r w:rsidR="0023187A" w:rsidRPr="000677FB">
        <w:rPr>
          <w:rFonts w:eastAsia="Times New Roman CYR"/>
          <w:sz w:val="28"/>
          <w:szCs w:val="28"/>
          <w:lang w:val="uk-UA"/>
        </w:rPr>
        <w:t>абезпечено</w:t>
      </w:r>
      <w:r w:rsidRPr="000677FB">
        <w:rPr>
          <w:rFonts w:eastAsia="Times New Roman CYR"/>
          <w:sz w:val="28"/>
          <w:szCs w:val="28"/>
          <w:lang w:val="uk-UA"/>
        </w:rPr>
        <w:t xml:space="preserve"> опрацювання матеріалів, що надходили від структурних підрозділів, підготовка позовних заяв та подання їх до суду, апеляційне та касаційне оскарження судових рішень до судів вищих інстанцій, звернення з заявами щодо внесення відомостей до Єдиного державного реєстру досудових розслідувань, подання заяв щодо визнання потерпілою стороною у кримінальному провадженні, забезпечувався юридичний супровід судових справ, у яких Криворізька міська рада, її виконком, міський голова виступали позивачами, відповідачами, третіми особами. </w:t>
      </w:r>
    </w:p>
    <w:p w14:paraId="02E94977" w14:textId="5589B315" w:rsidR="00AA7EAB" w:rsidRPr="000677FB" w:rsidRDefault="00AA7EAB" w:rsidP="00AA7EAB">
      <w:pPr>
        <w:shd w:val="clear" w:color="auto" w:fill="FFFFFF"/>
        <w:tabs>
          <w:tab w:val="left" w:pos="797"/>
        </w:tabs>
        <w:ind w:firstLine="567"/>
        <w:jc w:val="both"/>
        <w:rPr>
          <w:sz w:val="28"/>
          <w:szCs w:val="28"/>
          <w:lang w:val="uk-UA"/>
        </w:rPr>
      </w:pPr>
      <w:r w:rsidRPr="000677FB">
        <w:rPr>
          <w:sz w:val="28"/>
          <w:szCs w:val="28"/>
          <w:lang w:val="uk-UA"/>
        </w:rPr>
        <w:t xml:space="preserve">За звітний період спеціалісти Управління брали участь у </w:t>
      </w:r>
      <w:r w:rsidR="007E3995" w:rsidRPr="000677FB">
        <w:rPr>
          <w:b/>
          <w:sz w:val="28"/>
          <w:szCs w:val="28"/>
          <w:lang w:val="uk-UA"/>
        </w:rPr>
        <w:t>680</w:t>
      </w:r>
      <w:r w:rsidRPr="000677FB">
        <w:rPr>
          <w:b/>
          <w:sz w:val="28"/>
          <w:szCs w:val="28"/>
          <w:lang w:val="uk-UA"/>
        </w:rPr>
        <w:t xml:space="preserve"> </w:t>
      </w:r>
      <w:r w:rsidRPr="000677FB">
        <w:rPr>
          <w:sz w:val="28"/>
          <w:szCs w:val="28"/>
          <w:lang w:val="uk-UA"/>
        </w:rPr>
        <w:t>справ</w:t>
      </w:r>
      <w:r w:rsidR="007E3995" w:rsidRPr="000677FB">
        <w:rPr>
          <w:sz w:val="28"/>
          <w:szCs w:val="28"/>
          <w:lang w:val="uk-UA"/>
        </w:rPr>
        <w:t>ах</w:t>
      </w:r>
      <w:r w:rsidR="00351F78" w:rsidRPr="000677FB">
        <w:rPr>
          <w:sz w:val="28"/>
          <w:szCs w:val="28"/>
          <w:lang w:val="uk-UA"/>
        </w:rPr>
        <w:t xml:space="preserve"> </w:t>
      </w:r>
      <w:r w:rsidRPr="000677FB">
        <w:rPr>
          <w:sz w:val="28"/>
          <w:szCs w:val="28"/>
          <w:lang w:val="uk-UA"/>
        </w:rPr>
        <w:t xml:space="preserve">різних категорій, що були предметом розгляду судів загальної та спеціальної юрисдикцій усіх інстанцій, провадження за якими порушено у </w:t>
      </w:r>
      <w:r w:rsidR="00F7694F" w:rsidRPr="000677FB">
        <w:rPr>
          <w:sz w:val="28"/>
          <w:szCs w:val="28"/>
          <w:lang w:val="uk-UA"/>
        </w:rPr>
        <w:t>2024</w:t>
      </w:r>
      <w:r w:rsidRPr="000677FB">
        <w:rPr>
          <w:sz w:val="28"/>
          <w:szCs w:val="28"/>
          <w:lang w:val="uk-UA"/>
        </w:rPr>
        <w:t xml:space="preserve"> році та попередніх роках. </w:t>
      </w:r>
    </w:p>
    <w:p w14:paraId="4AB40F34" w14:textId="77777777" w:rsidR="00AA7EAB" w:rsidRPr="000677FB" w:rsidRDefault="00AA7EAB" w:rsidP="00F02B98">
      <w:pPr>
        <w:pStyle w:val="31"/>
        <w:spacing w:after="0" w:line="240" w:lineRule="auto"/>
        <w:ind w:left="0" w:firstLine="567"/>
        <w:jc w:val="both"/>
        <w:rPr>
          <w:sz w:val="28"/>
          <w:szCs w:val="28"/>
        </w:rPr>
      </w:pPr>
      <w:r w:rsidRPr="000677FB">
        <w:rPr>
          <w:sz w:val="28"/>
          <w:szCs w:val="28"/>
        </w:rPr>
        <w:t>Упродовж 202</w:t>
      </w:r>
      <w:r w:rsidR="00F7694F" w:rsidRPr="000677FB">
        <w:rPr>
          <w:sz w:val="28"/>
          <w:szCs w:val="28"/>
        </w:rPr>
        <w:t>4</w:t>
      </w:r>
      <w:r w:rsidRPr="000677FB">
        <w:rPr>
          <w:sz w:val="28"/>
          <w:szCs w:val="28"/>
        </w:rPr>
        <w:t xml:space="preserve"> року фахівці Управління забезпечили представництво Криворізької міської ради, виконавчого комітету та його структурних підрозділів за справами таких категорій:</w:t>
      </w:r>
    </w:p>
    <w:p w14:paraId="78B827D7" w14:textId="77777777" w:rsidR="0045296C" w:rsidRPr="000677FB" w:rsidRDefault="00AA7EAB" w:rsidP="00F02B98">
      <w:pPr>
        <w:pStyle w:val="31"/>
        <w:spacing w:after="0" w:line="240" w:lineRule="auto"/>
        <w:ind w:left="0" w:firstLine="567"/>
        <w:jc w:val="both"/>
        <w:rPr>
          <w:sz w:val="28"/>
          <w:szCs w:val="28"/>
        </w:rPr>
      </w:pPr>
      <w:r w:rsidRPr="000677FB">
        <w:rPr>
          <w:sz w:val="28"/>
          <w:szCs w:val="28"/>
        </w:rPr>
        <w:lastRenderedPageBreak/>
        <w:t xml:space="preserve">- </w:t>
      </w:r>
      <w:r w:rsidR="00F049F8" w:rsidRPr="000677FB">
        <w:rPr>
          <w:b/>
          <w:sz w:val="28"/>
          <w:szCs w:val="28"/>
        </w:rPr>
        <w:t>72</w:t>
      </w:r>
      <w:r w:rsidRPr="000677FB">
        <w:rPr>
          <w:sz w:val="28"/>
          <w:szCs w:val="28"/>
        </w:rPr>
        <w:t xml:space="preserve"> справ</w:t>
      </w:r>
      <w:r w:rsidR="00FE0CAD" w:rsidRPr="000677FB">
        <w:rPr>
          <w:sz w:val="28"/>
          <w:szCs w:val="28"/>
        </w:rPr>
        <w:t>и</w:t>
      </w:r>
      <w:r w:rsidRPr="000677FB">
        <w:rPr>
          <w:sz w:val="28"/>
          <w:szCs w:val="28"/>
        </w:rPr>
        <w:t xml:space="preserve"> у порядку адміністративного судочинства з розгляду спорів у сфері публічно-правових  відносин, у тому числі оскарження рішень, дій чи бездіяльності Криворізької міської ради, її виконавчих органів;</w:t>
      </w:r>
    </w:p>
    <w:p w14:paraId="4BDD4DCE" w14:textId="5F9BC7AA" w:rsidR="00AA7EAB" w:rsidRPr="000677FB" w:rsidRDefault="00AA7EAB" w:rsidP="00F02B98">
      <w:pPr>
        <w:pStyle w:val="31"/>
        <w:spacing w:after="0" w:line="240" w:lineRule="auto"/>
        <w:ind w:left="0" w:firstLine="567"/>
        <w:jc w:val="both"/>
        <w:rPr>
          <w:sz w:val="28"/>
          <w:szCs w:val="28"/>
        </w:rPr>
      </w:pPr>
      <w:r w:rsidRPr="000677FB">
        <w:rPr>
          <w:sz w:val="28"/>
          <w:szCs w:val="28"/>
        </w:rPr>
        <w:t xml:space="preserve">- </w:t>
      </w:r>
      <w:r w:rsidR="007E3995" w:rsidRPr="000677FB">
        <w:rPr>
          <w:b/>
          <w:sz w:val="28"/>
          <w:szCs w:val="28"/>
        </w:rPr>
        <w:t>359</w:t>
      </w:r>
      <w:r w:rsidR="00E100E1" w:rsidRPr="000677FB">
        <w:rPr>
          <w:sz w:val="28"/>
          <w:szCs w:val="28"/>
        </w:rPr>
        <w:t xml:space="preserve"> справ</w:t>
      </w:r>
      <w:r w:rsidRPr="000677FB">
        <w:rPr>
          <w:sz w:val="28"/>
          <w:szCs w:val="28"/>
        </w:rPr>
        <w:t xml:space="preserve"> в порядку цивільного судочинства, предметом спору за якою було визнання права власності на майно, визнання часток у спільному майні, визнання права власності за набувальною давністю щодо об’єктів індивідуальної житлової забудови, усунення перешкод у користуванні власністю, установлення фактів, що мають юридичне значення, скасування реєстрації права власності та ін.;</w:t>
      </w:r>
    </w:p>
    <w:p w14:paraId="03FEA47E" w14:textId="4D7B9610" w:rsidR="00AA7EAB" w:rsidRPr="000677FB" w:rsidRDefault="00AA7EAB" w:rsidP="00F02B98">
      <w:pPr>
        <w:pStyle w:val="31"/>
        <w:spacing w:after="0" w:line="240" w:lineRule="auto"/>
        <w:ind w:left="0" w:firstLine="567"/>
        <w:jc w:val="both"/>
        <w:rPr>
          <w:sz w:val="28"/>
          <w:szCs w:val="28"/>
        </w:rPr>
      </w:pPr>
      <w:r w:rsidRPr="000677FB">
        <w:rPr>
          <w:sz w:val="28"/>
          <w:szCs w:val="28"/>
        </w:rPr>
        <w:t xml:space="preserve">- </w:t>
      </w:r>
      <w:r w:rsidR="003B06FA" w:rsidRPr="000677FB">
        <w:rPr>
          <w:b/>
          <w:sz w:val="28"/>
          <w:szCs w:val="28"/>
        </w:rPr>
        <w:t>249</w:t>
      </w:r>
      <w:r w:rsidRPr="000677FB">
        <w:rPr>
          <w:sz w:val="28"/>
          <w:szCs w:val="28"/>
        </w:rPr>
        <w:t xml:space="preserve"> справ юрисдикції господарського суду, що пов’язані зі здійсненням господарської діяльності, а саме: стягнення заборгованості з орендної плати за користування нерухомим майном (земля та об’єкти нерухомості), що належить до комунальної власності міста,  стягнення безпідставно утриманих коштів</w:t>
      </w:r>
      <w:r w:rsidR="004D223A" w:rsidRPr="000677FB">
        <w:rPr>
          <w:sz w:val="28"/>
          <w:szCs w:val="28"/>
        </w:rPr>
        <w:t xml:space="preserve"> та неустойки</w:t>
      </w:r>
      <w:r w:rsidRPr="000677FB">
        <w:rPr>
          <w:sz w:val="28"/>
          <w:szCs w:val="28"/>
        </w:rPr>
        <w:t xml:space="preserve"> за користування комунальним майном, повернення земельних ділянок та іншого нерухомого майна, що належать до власності територіальної громади міста з </w:t>
      </w:r>
      <w:r w:rsidR="00087FF8" w:rsidRPr="000677FB">
        <w:rPr>
          <w:sz w:val="28"/>
          <w:szCs w:val="28"/>
        </w:rPr>
        <w:t>безпідставного</w:t>
      </w:r>
      <w:r w:rsidRPr="000677FB">
        <w:rPr>
          <w:sz w:val="28"/>
          <w:szCs w:val="28"/>
        </w:rPr>
        <w:t xml:space="preserve"> користування (після закінчення терміну дії договірних відносин) без належним чином оформлених речових прав та відповідне врегулювання окремих договірних відносин (укладання, зміна умов та розірвання договорів), справи про банкрутство</w:t>
      </w:r>
      <w:r w:rsidR="000E2F6E" w:rsidRPr="000677FB">
        <w:rPr>
          <w:sz w:val="28"/>
          <w:szCs w:val="28"/>
        </w:rPr>
        <w:t>, скасування державної реєстрації права власності на об’єкти нерухомого майна</w:t>
      </w:r>
      <w:r w:rsidR="00087FF8" w:rsidRPr="000677FB">
        <w:rPr>
          <w:sz w:val="28"/>
          <w:szCs w:val="28"/>
        </w:rPr>
        <w:t xml:space="preserve"> тощо.</w:t>
      </w:r>
    </w:p>
    <w:p w14:paraId="5AF92248" w14:textId="77777777" w:rsidR="000E4E0D" w:rsidRPr="000677FB" w:rsidRDefault="000E4E0D" w:rsidP="00F02B98">
      <w:pPr>
        <w:pStyle w:val="31"/>
        <w:spacing w:after="0" w:line="240" w:lineRule="auto"/>
        <w:ind w:left="0" w:firstLine="567"/>
        <w:jc w:val="both"/>
        <w:rPr>
          <w:sz w:val="28"/>
          <w:szCs w:val="28"/>
        </w:rPr>
      </w:pPr>
      <w:r w:rsidRPr="000677FB">
        <w:rPr>
          <w:sz w:val="28"/>
          <w:szCs w:val="28"/>
        </w:rPr>
        <w:t xml:space="preserve">У 2024 році здійснювалось представництво у судах різних інстанцій та інша, пов’язана з цим процесуальна робота стосовно оскарження результатів ревізії бюджету Криворізької  міської територіальної громади проведеної у 2023 році органами державного фінансового контролю. Внаслідок чого на користь структурних підрозділів  виконкому міської ради </w:t>
      </w:r>
      <w:r w:rsidR="00ED4957" w:rsidRPr="000677FB">
        <w:rPr>
          <w:sz w:val="28"/>
          <w:szCs w:val="28"/>
        </w:rPr>
        <w:t xml:space="preserve">(департамент освіти і науки, департамент розвитку інфраструктури міста, управління охорони здоров’я) </w:t>
      </w:r>
      <w:r w:rsidRPr="000677FB">
        <w:rPr>
          <w:sz w:val="28"/>
          <w:szCs w:val="28"/>
        </w:rPr>
        <w:t xml:space="preserve">судами різних інстанції були винесені рішення стосовно скасування результатів ревізії на суму </w:t>
      </w:r>
      <w:r w:rsidR="00335A71" w:rsidRPr="000677FB">
        <w:rPr>
          <w:b/>
          <w:sz w:val="28"/>
          <w:szCs w:val="28"/>
        </w:rPr>
        <w:t xml:space="preserve">понад </w:t>
      </w:r>
      <w:r w:rsidR="0012129F" w:rsidRPr="000677FB">
        <w:rPr>
          <w:b/>
          <w:sz w:val="28"/>
          <w:szCs w:val="28"/>
        </w:rPr>
        <w:t>27 млрд. грн.</w:t>
      </w:r>
      <w:r w:rsidR="0012129F" w:rsidRPr="000677FB">
        <w:rPr>
          <w:sz w:val="28"/>
          <w:szCs w:val="28"/>
        </w:rPr>
        <w:t xml:space="preserve"> </w:t>
      </w:r>
      <w:r w:rsidRPr="000677FB">
        <w:rPr>
          <w:sz w:val="28"/>
          <w:szCs w:val="28"/>
        </w:rPr>
        <w:t>Також були скасовані у судовому порядку безпідставні висновки органів державного контролю щодо результатів моніторингу процедур закупівель органів місцевого самоврядування.</w:t>
      </w:r>
    </w:p>
    <w:p w14:paraId="22A4F9F4" w14:textId="77777777" w:rsidR="0065569F" w:rsidRPr="000677FB" w:rsidRDefault="0065569F" w:rsidP="00F02B98">
      <w:pPr>
        <w:pStyle w:val="31"/>
        <w:spacing w:after="0" w:line="240" w:lineRule="auto"/>
        <w:ind w:left="0" w:firstLine="567"/>
        <w:jc w:val="both"/>
        <w:rPr>
          <w:sz w:val="28"/>
          <w:szCs w:val="28"/>
        </w:rPr>
      </w:pPr>
      <w:r w:rsidRPr="000677FB">
        <w:rPr>
          <w:sz w:val="28"/>
          <w:szCs w:val="28"/>
        </w:rPr>
        <w:t xml:space="preserve">Внаслідок проведення </w:t>
      </w:r>
      <w:r w:rsidR="00ED4957" w:rsidRPr="000677FB">
        <w:rPr>
          <w:sz w:val="28"/>
          <w:szCs w:val="28"/>
        </w:rPr>
        <w:t xml:space="preserve">юридичним управлінням </w:t>
      </w:r>
      <w:r w:rsidRPr="000677FB">
        <w:rPr>
          <w:sz w:val="28"/>
          <w:szCs w:val="28"/>
        </w:rPr>
        <w:t>позовної роботи та процесуального представництва у судовому п</w:t>
      </w:r>
      <w:r w:rsidR="00ED4957" w:rsidRPr="000677FB">
        <w:rPr>
          <w:sz w:val="28"/>
          <w:szCs w:val="28"/>
        </w:rPr>
        <w:t>орядку було в</w:t>
      </w:r>
      <w:r w:rsidRPr="000677FB">
        <w:rPr>
          <w:sz w:val="28"/>
          <w:szCs w:val="28"/>
        </w:rPr>
        <w:t>изна</w:t>
      </w:r>
      <w:r w:rsidR="00ED4957" w:rsidRPr="000677FB">
        <w:rPr>
          <w:sz w:val="28"/>
          <w:szCs w:val="28"/>
        </w:rPr>
        <w:t>но</w:t>
      </w:r>
      <w:r w:rsidRPr="000677FB">
        <w:rPr>
          <w:sz w:val="28"/>
          <w:szCs w:val="28"/>
        </w:rPr>
        <w:t xml:space="preserve"> протиправною та скасува</w:t>
      </w:r>
      <w:r w:rsidR="00ED4957" w:rsidRPr="000677FB">
        <w:rPr>
          <w:sz w:val="28"/>
          <w:szCs w:val="28"/>
        </w:rPr>
        <w:t>но</w:t>
      </w:r>
      <w:r w:rsidRPr="000677FB">
        <w:rPr>
          <w:sz w:val="28"/>
          <w:szCs w:val="28"/>
        </w:rPr>
        <w:t xml:space="preserve"> вимогу Східного офісу Держаудитслужби про усунення порушень законодавства </w:t>
      </w:r>
      <w:r w:rsidR="00ED4957" w:rsidRPr="000677FB">
        <w:rPr>
          <w:sz w:val="28"/>
          <w:szCs w:val="28"/>
        </w:rPr>
        <w:t xml:space="preserve">Управлінням капітального будівництва виконкому міської ради на суму </w:t>
      </w:r>
      <w:r w:rsidR="00ED4957" w:rsidRPr="000677FB">
        <w:rPr>
          <w:b/>
          <w:sz w:val="28"/>
          <w:szCs w:val="28"/>
        </w:rPr>
        <w:t>понад 19 млн. грн</w:t>
      </w:r>
      <w:r w:rsidRPr="000677FB">
        <w:rPr>
          <w:b/>
          <w:sz w:val="28"/>
          <w:szCs w:val="28"/>
        </w:rPr>
        <w:t>.</w:t>
      </w:r>
    </w:p>
    <w:p w14:paraId="2E15B84B" w14:textId="46BC0E38" w:rsidR="00BE25C7" w:rsidRPr="000677FB" w:rsidRDefault="00920E1A" w:rsidP="00F02B98">
      <w:pPr>
        <w:pStyle w:val="31"/>
        <w:spacing w:after="0" w:line="240" w:lineRule="auto"/>
        <w:ind w:left="0" w:firstLine="567"/>
        <w:jc w:val="both"/>
        <w:rPr>
          <w:sz w:val="28"/>
          <w:szCs w:val="28"/>
        </w:rPr>
      </w:pPr>
      <w:r w:rsidRPr="000677FB">
        <w:rPr>
          <w:sz w:val="28"/>
          <w:szCs w:val="28"/>
        </w:rPr>
        <w:t>Крім того, з</w:t>
      </w:r>
      <w:r w:rsidR="00BE25C7" w:rsidRPr="000677FB">
        <w:rPr>
          <w:sz w:val="28"/>
          <w:szCs w:val="28"/>
        </w:rPr>
        <w:t xml:space="preserve">а результатом проведеної претензійно-позовної роботи до міського бюджету від ПАТ «АрселорМіттал Кривий Ріг» надійшло </w:t>
      </w:r>
      <w:r w:rsidR="00BE25C7" w:rsidRPr="000677FB">
        <w:rPr>
          <w:b/>
          <w:sz w:val="28"/>
          <w:szCs w:val="28"/>
        </w:rPr>
        <w:t>6</w:t>
      </w:r>
      <w:r w:rsidR="009A1F8A" w:rsidRPr="000677FB">
        <w:rPr>
          <w:b/>
          <w:sz w:val="28"/>
          <w:szCs w:val="28"/>
        </w:rPr>
        <w:t>38,3</w:t>
      </w:r>
      <w:r w:rsidR="00BE25C7" w:rsidRPr="000677FB">
        <w:rPr>
          <w:b/>
          <w:sz w:val="28"/>
          <w:szCs w:val="28"/>
        </w:rPr>
        <w:t xml:space="preserve"> млн. грн.</w:t>
      </w:r>
      <w:r w:rsidR="00BE25C7" w:rsidRPr="000677FB">
        <w:rPr>
          <w:sz w:val="28"/>
          <w:szCs w:val="28"/>
        </w:rPr>
        <w:t xml:space="preserve"> орендної плати за землю за 2018-2019.</w:t>
      </w:r>
    </w:p>
    <w:p w14:paraId="124BE6FF" w14:textId="3D132DBB" w:rsidR="00BE25C7" w:rsidRPr="000677FB" w:rsidRDefault="00BE25C7" w:rsidP="00F02B98">
      <w:pPr>
        <w:pStyle w:val="31"/>
        <w:spacing w:after="0" w:line="240" w:lineRule="auto"/>
        <w:ind w:left="0" w:firstLine="567"/>
        <w:jc w:val="both"/>
        <w:rPr>
          <w:b/>
          <w:sz w:val="28"/>
          <w:szCs w:val="28"/>
        </w:rPr>
      </w:pPr>
      <w:r w:rsidRPr="000677FB">
        <w:rPr>
          <w:sz w:val="28"/>
          <w:szCs w:val="28"/>
          <w:shd w:val="clear" w:color="auto" w:fill="FFFFFF"/>
        </w:rPr>
        <w:t>Проведено роботу щодо вирішення в судовому порядку питання зниження</w:t>
      </w:r>
      <w:r w:rsidR="009036C5" w:rsidRPr="000677FB">
        <w:rPr>
          <w:sz w:val="28"/>
          <w:szCs w:val="28"/>
          <w:shd w:val="clear" w:color="auto" w:fill="FFFFFF"/>
        </w:rPr>
        <w:t xml:space="preserve"> </w:t>
      </w:r>
      <w:r w:rsidR="00CD4654" w:rsidRPr="000677FB">
        <w:rPr>
          <w:sz w:val="28"/>
          <w:szCs w:val="28"/>
          <w:shd w:val="clear" w:color="auto" w:fill="FFFFFF"/>
        </w:rPr>
        <w:t xml:space="preserve">                                      </w:t>
      </w:r>
      <w:r w:rsidRPr="000677FB">
        <w:rPr>
          <w:sz w:val="28"/>
          <w:szCs w:val="28"/>
          <w:shd w:val="clear" w:color="auto" w:fill="FFFFFF"/>
        </w:rPr>
        <w:t xml:space="preserve">АТ «Укрзалізниця» податкових зобов’язань із земельного податку, починаючи з 2023, що </w:t>
      </w:r>
      <w:r w:rsidR="00003446" w:rsidRPr="000677FB">
        <w:rPr>
          <w:sz w:val="28"/>
          <w:szCs w:val="28"/>
          <w:shd w:val="clear" w:color="auto" w:fill="FFFFFF"/>
        </w:rPr>
        <w:t xml:space="preserve">можуть </w:t>
      </w:r>
      <w:r w:rsidRPr="000677FB">
        <w:rPr>
          <w:sz w:val="28"/>
          <w:szCs w:val="28"/>
          <w:shd w:val="clear" w:color="auto" w:fill="FFFFFF"/>
        </w:rPr>
        <w:t xml:space="preserve">забезпечить додаткові надходження до бюджету </w:t>
      </w:r>
      <w:r w:rsidRPr="000677FB">
        <w:rPr>
          <w:sz w:val="28"/>
          <w:szCs w:val="28"/>
        </w:rPr>
        <w:t>69,3</w:t>
      </w:r>
      <w:r w:rsidRPr="000677FB">
        <w:rPr>
          <w:rStyle w:val="a5"/>
          <w:sz w:val="28"/>
          <w:szCs w:val="28"/>
          <w:bdr w:val="none" w:sz="0" w:space="0" w:color="auto" w:frame="1"/>
        </w:rPr>
        <w:t xml:space="preserve"> </w:t>
      </w:r>
      <w:r w:rsidRPr="000677FB">
        <w:rPr>
          <w:rStyle w:val="a5"/>
          <w:b w:val="0"/>
          <w:sz w:val="28"/>
          <w:szCs w:val="28"/>
          <w:bdr w:val="none" w:sz="0" w:space="0" w:color="auto" w:frame="1"/>
        </w:rPr>
        <w:t>млн. грн. на рік.</w:t>
      </w:r>
    </w:p>
    <w:p w14:paraId="04E97EA3" w14:textId="77777777" w:rsidR="00AA7EAB" w:rsidRPr="000677FB" w:rsidRDefault="001B04FC" w:rsidP="00F02B98">
      <w:pPr>
        <w:pStyle w:val="31"/>
        <w:spacing w:after="0" w:line="240" w:lineRule="auto"/>
        <w:ind w:left="0" w:firstLine="567"/>
        <w:jc w:val="both"/>
        <w:rPr>
          <w:sz w:val="28"/>
          <w:szCs w:val="28"/>
          <w:lang w:val="ru-RU"/>
        </w:rPr>
      </w:pPr>
      <w:r w:rsidRPr="000677FB">
        <w:rPr>
          <w:sz w:val="28"/>
          <w:szCs w:val="28"/>
        </w:rPr>
        <w:t>У 2024</w:t>
      </w:r>
      <w:r w:rsidR="00AA7EAB" w:rsidRPr="000677FB">
        <w:rPr>
          <w:sz w:val="28"/>
          <w:szCs w:val="28"/>
        </w:rPr>
        <w:t xml:space="preserve"> році кількість судових засідань у справах, представництво за якими було забезпечено спеціалістами Управління, становить </w:t>
      </w:r>
      <w:r w:rsidR="003B3595" w:rsidRPr="000677FB">
        <w:rPr>
          <w:b/>
          <w:sz w:val="28"/>
          <w:szCs w:val="28"/>
          <w:lang w:val="ru-RU"/>
        </w:rPr>
        <w:t xml:space="preserve">1737. </w:t>
      </w:r>
      <w:r w:rsidR="00AA7EAB" w:rsidRPr="000677FB">
        <w:rPr>
          <w:sz w:val="28"/>
          <w:szCs w:val="28"/>
          <w:lang w:val="ru-RU"/>
        </w:rPr>
        <w:t>Ураховуючи введення воєнного стану</w:t>
      </w:r>
      <w:r w:rsidR="00AA7EAB" w:rsidRPr="000677FB">
        <w:rPr>
          <w:bCs/>
          <w:sz w:val="28"/>
          <w:szCs w:val="28"/>
        </w:rPr>
        <w:t xml:space="preserve"> на території України частина</w:t>
      </w:r>
      <w:r w:rsidR="00AA7EAB" w:rsidRPr="000677FB">
        <w:rPr>
          <w:sz w:val="28"/>
          <w:szCs w:val="28"/>
          <w:lang w:val="ru-RU"/>
        </w:rPr>
        <w:t xml:space="preserve"> судових засідань була проведена в режимі відеоконференцій.</w:t>
      </w:r>
    </w:p>
    <w:p w14:paraId="0CABD6F6" w14:textId="5F83BE11" w:rsidR="00AA7EAB" w:rsidRPr="000677FB" w:rsidRDefault="00AA7EAB" w:rsidP="00F02B98">
      <w:pPr>
        <w:pStyle w:val="31"/>
        <w:spacing w:after="0" w:line="240" w:lineRule="auto"/>
        <w:ind w:left="0" w:firstLine="567"/>
        <w:jc w:val="both"/>
        <w:rPr>
          <w:sz w:val="28"/>
          <w:szCs w:val="28"/>
        </w:rPr>
      </w:pPr>
      <w:r w:rsidRPr="000677FB">
        <w:rPr>
          <w:sz w:val="28"/>
          <w:szCs w:val="28"/>
        </w:rPr>
        <w:lastRenderedPageBreak/>
        <w:t>За результатами проведеної Управлінням</w:t>
      </w:r>
      <w:r w:rsidR="001405E5" w:rsidRPr="000677FB">
        <w:rPr>
          <w:sz w:val="28"/>
          <w:szCs w:val="28"/>
        </w:rPr>
        <w:t xml:space="preserve"> досудової,</w:t>
      </w:r>
      <w:r w:rsidRPr="000677FB">
        <w:rPr>
          <w:sz w:val="28"/>
          <w:szCs w:val="28"/>
        </w:rPr>
        <w:t xml:space="preserve"> претензійно-позовної та пред</w:t>
      </w:r>
      <w:r w:rsidR="001B04FC" w:rsidRPr="000677FB">
        <w:rPr>
          <w:sz w:val="28"/>
          <w:szCs w:val="28"/>
        </w:rPr>
        <w:t>ставницької роботи протягом 2024</w:t>
      </w:r>
      <w:r w:rsidR="001405E5" w:rsidRPr="000677FB">
        <w:rPr>
          <w:sz w:val="28"/>
          <w:szCs w:val="28"/>
        </w:rPr>
        <w:t xml:space="preserve"> року, до</w:t>
      </w:r>
      <w:r w:rsidR="00F90D74" w:rsidRPr="000677FB">
        <w:rPr>
          <w:sz w:val="28"/>
          <w:szCs w:val="28"/>
        </w:rPr>
        <w:t xml:space="preserve"> міського</w:t>
      </w:r>
      <w:r w:rsidR="001405E5" w:rsidRPr="000677FB">
        <w:rPr>
          <w:sz w:val="28"/>
          <w:szCs w:val="28"/>
        </w:rPr>
        <w:t xml:space="preserve"> бюджету </w:t>
      </w:r>
      <w:r w:rsidR="00081AEB" w:rsidRPr="000677FB">
        <w:rPr>
          <w:sz w:val="28"/>
          <w:szCs w:val="28"/>
        </w:rPr>
        <w:t xml:space="preserve">надійшли кошти в розмірі </w:t>
      </w:r>
      <w:r w:rsidR="00081AEB" w:rsidRPr="000677FB">
        <w:rPr>
          <w:b/>
          <w:sz w:val="28"/>
          <w:szCs w:val="28"/>
        </w:rPr>
        <w:t>24,3 млн. грн.</w:t>
      </w:r>
    </w:p>
    <w:p w14:paraId="37624122" w14:textId="77777777" w:rsidR="00A212A9" w:rsidRPr="000677FB" w:rsidRDefault="00A212A9" w:rsidP="00A212A9">
      <w:pPr>
        <w:pStyle w:val="31"/>
        <w:spacing w:after="0" w:line="240" w:lineRule="auto"/>
        <w:ind w:left="0" w:firstLine="540"/>
        <w:jc w:val="both"/>
        <w:rPr>
          <w:i/>
          <w:sz w:val="28"/>
          <w:szCs w:val="28"/>
        </w:rPr>
      </w:pPr>
    </w:p>
    <w:p w14:paraId="4F697DCE" w14:textId="77777777" w:rsidR="00627AA9" w:rsidRPr="000677FB" w:rsidRDefault="00857A30" w:rsidP="00E44039">
      <w:pPr>
        <w:shd w:val="clear" w:color="auto" w:fill="FFFFFF"/>
        <w:spacing w:line="240" w:lineRule="atLeast"/>
        <w:ind w:firstLine="567"/>
        <w:jc w:val="both"/>
        <w:rPr>
          <w:color w:val="002060"/>
          <w:sz w:val="28"/>
          <w:szCs w:val="28"/>
          <w:lang w:val="uk-UA"/>
        </w:rPr>
      </w:pPr>
      <w:r w:rsidRPr="000677FB">
        <w:rPr>
          <w:noProof/>
          <w:kern w:val="2"/>
          <w:sz w:val="28"/>
          <w:szCs w:val="28"/>
        </w:rPr>
        <w:drawing>
          <wp:inline distT="0" distB="0" distL="0" distR="0" wp14:anchorId="03E02D78" wp14:editId="4DBF0DFB">
            <wp:extent cx="5423574" cy="2489835"/>
            <wp:effectExtent l="0" t="0" r="5715" b="5715"/>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78BE7D1" w14:textId="77777777" w:rsidR="00050D09" w:rsidRPr="000677FB" w:rsidRDefault="00050D09" w:rsidP="00B079F6">
      <w:pPr>
        <w:pStyle w:val="32"/>
        <w:tabs>
          <w:tab w:val="left" w:pos="1080"/>
        </w:tabs>
        <w:spacing w:after="0"/>
        <w:ind w:left="0" w:firstLine="567"/>
        <w:jc w:val="both"/>
        <w:rPr>
          <w:sz w:val="28"/>
          <w:szCs w:val="28"/>
          <w:lang w:val="uk-UA"/>
        </w:rPr>
      </w:pPr>
    </w:p>
    <w:p w14:paraId="257FEB75" w14:textId="77777777" w:rsidR="00050D09" w:rsidRPr="000677FB" w:rsidRDefault="00050D09" w:rsidP="00B079F6">
      <w:pPr>
        <w:pStyle w:val="32"/>
        <w:tabs>
          <w:tab w:val="left" w:pos="1080"/>
        </w:tabs>
        <w:spacing w:after="0"/>
        <w:ind w:left="0" w:firstLine="567"/>
        <w:jc w:val="both"/>
        <w:rPr>
          <w:sz w:val="28"/>
          <w:szCs w:val="28"/>
          <w:lang w:val="uk-UA"/>
        </w:rPr>
      </w:pPr>
    </w:p>
    <w:p w14:paraId="4354D327" w14:textId="43C06D84" w:rsidR="00956FAF" w:rsidRPr="000677FB" w:rsidRDefault="00E44039" w:rsidP="00D508BB">
      <w:pPr>
        <w:pStyle w:val="32"/>
        <w:tabs>
          <w:tab w:val="left" w:pos="1080"/>
        </w:tabs>
        <w:spacing w:after="0"/>
        <w:ind w:left="0" w:firstLine="567"/>
        <w:jc w:val="both"/>
        <w:rPr>
          <w:sz w:val="28"/>
          <w:szCs w:val="28"/>
          <w:lang w:val="uk-UA"/>
        </w:rPr>
      </w:pPr>
      <w:r w:rsidRPr="000677FB">
        <w:rPr>
          <w:sz w:val="28"/>
          <w:szCs w:val="28"/>
          <w:lang w:val="uk-UA"/>
        </w:rPr>
        <w:t xml:space="preserve">У 2024 році юридичним управлінням було опрацьовано вхідної документації в обсязі </w:t>
      </w:r>
      <w:r w:rsidRPr="000677FB">
        <w:rPr>
          <w:b/>
          <w:sz w:val="28"/>
          <w:szCs w:val="28"/>
          <w:lang w:val="uk-UA"/>
        </w:rPr>
        <w:t xml:space="preserve">10403 </w:t>
      </w:r>
      <w:r w:rsidRPr="000677FB">
        <w:rPr>
          <w:sz w:val="28"/>
          <w:szCs w:val="28"/>
          <w:lang w:val="uk-UA"/>
        </w:rPr>
        <w:t>документи (кореспонденція від органів суду та державної виконавчої служби – 7905;</w:t>
      </w:r>
      <w:r w:rsidR="00050D09" w:rsidRPr="000677FB">
        <w:rPr>
          <w:sz w:val="28"/>
          <w:szCs w:val="28"/>
          <w:lang w:val="uk-UA"/>
        </w:rPr>
        <w:t xml:space="preserve"> </w:t>
      </w:r>
      <w:r w:rsidR="00B079F6" w:rsidRPr="000677FB">
        <w:rPr>
          <w:sz w:val="28"/>
          <w:szCs w:val="28"/>
          <w:lang w:val="uk-UA"/>
        </w:rPr>
        <w:t xml:space="preserve">листування зі структурними підрозділами виконкому міської ради – 1526; кореспонденція від правоохоронних органів – 853; звернення, листи, запити фізичних і юридичних осіб – 362; кореспонденція від органів державної влади та їх територіальних підрозділів – 76; депутатів-43), переважну більшість якої становить кореспонденція від органів судової влади та державної виконавчої служби. Унаслідок її опрацювання було підготовлено </w:t>
      </w:r>
      <w:r w:rsidR="00B079F6" w:rsidRPr="000677FB">
        <w:rPr>
          <w:b/>
          <w:sz w:val="28"/>
          <w:szCs w:val="28"/>
          <w:lang w:val="uk-UA"/>
        </w:rPr>
        <w:t xml:space="preserve">2149 </w:t>
      </w:r>
      <w:r w:rsidR="00B079F6" w:rsidRPr="000677FB">
        <w:rPr>
          <w:sz w:val="28"/>
          <w:szCs w:val="28"/>
          <w:lang w:val="uk-UA"/>
        </w:rPr>
        <w:t>письмових відповідей. У відсотковому співвідношенні загальну кількість опрацьованої за рік вхідної кореспонденції можна навести у вигляді діаграми</w:t>
      </w:r>
    </w:p>
    <w:p w14:paraId="5C146C44" w14:textId="23DADFDE" w:rsidR="00A212A9" w:rsidRPr="000677FB" w:rsidRDefault="00050D09" w:rsidP="00DB47E8">
      <w:pPr>
        <w:jc w:val="both"/>
        <w:rPr>
          <w:b/>
          <w:i/>
          <w:sz w:val="28"/>
          <w:szCs w:val="28"/>
          <w:lang w:val="uk-UA"/>
        </w:rPr>
      </w:pPr>
      <w:r w:rsidRPr="000677FB">
        <w:rPr>
          <w:noProof/>
          <w:sz w:val="28"/>
          <w:szCs w:val="28"/>
        </w:rPr>
        <w:drawing>
          <wp:anchor distT="0" distB="0" distL="114300" distR="114300" simplePos="0" relativeHeight="251660288" behindDoc="0" locked="0" layoutInCell="1" allowOverlap="1" wp14:anchorId="1ECB0DB5" wp14:editId="0F1F4447">
            <wp:simplePos x="0" y="0"/>
            <wp:positionH relativeFrom="margin">
              <wp:posOffset>0</wp:posOffset>
            </wp:positionH>
            <wp:positionV relativeFrom="paragraph">
              <wp:posOffset>176530</wp:posOffset>
            </wp:positionV>
            <wp:extent cx="6108700" cy="2103755"/>
            <wp:effectExtent l="0" t="0" r="6350" b="10795"/>
            <wp:wrapSquare wrapText="bothSides"/>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614FAF6D" w14:textId="77777777" w:rsidR="00050D09" w:rsidRPr="000677FB" w:rsidRDefault="00050D09" w:rsidP="00F02B98">
      <w:pPr>
        <w:pStyle w:val="31"/>
        <w:spacing w:after="0" w:line="240" w:lineRule="auto"/>
        <w:ind w:left="0" w:firstLine="567"/>
        <w:jc w:val="both"/>
        <w:rPr>
          <w:sz w:val="28"/>
          <w:szCs w:val="28"/>
        </w:rPr>
      </w:pPr>
      <w:r w:rsidRPr="000677FB">
        <w:rPr>
          <w:sz w:val="28"/>
          <w:szCs w:val="28"/>
        </w:rPr>
        <w:t>Управлінням і в подальшому буде здійснюватися робота у відповідності до наданих повноважень.</w:t>
      </w:r>
    </w:p>
    <w:p w14:paraId="39F1E803" w14:textId="105E9109" w:rsidR="00050D09" w:rsidRPr="000677FB" w:rsidRDefault="00050D09" w:rsidP="00A212A9">
      <w:pPr>
        <w:jc w:val="both"/>
        <w:rPr>
          <w:b/>
          <w:i/>
          <w:sz w:val="28"/>
          <w:szCs w:val="28"/>
          <w:lang w:val="uk-UA"/>
        </w:rPr>
      </w:pPr>
      <w:bookmarkStart w:id="1" w:name="_GoBack"/>
      <w:bookmarkEnd w:id="1"/>
    </w:p>
    <w:p w14:paraId="6927FB27" w14:textId="77777777" w:rsidR="00070FB4" w:rsidRDefault="00070FB4" w:rsidP="00070FB4">
      <w:pPr>
        <w:ind w:left="5387"/>
        <w:jc w:val="both"/>
        <w:rPr>
          <w:i/>
          <w:sz w:val="28"/>
          <w:szCs w:val="28"/>
          <w:lang w:val="uk-UA"/>
        </w:rPr>
      </w:pPr>
      <w:r>
        <w:rPr>
          <w:i/>
          <w:sz w:val="28"/>
          <w:szCs w:val="28"/>
          <w:lang w:val="uk-UA"/>
        </w:rPr>
        <w:t xml:space="preserve">Начальник юридичного  </w:t>
      </w:r>
    </w:p>
    <w:p w14:paraId="3DDAF264" w14:textId="77777777" w:rsidR="00070FB4" w:rsidRDefault="00070FB4" w:rsidP="00070FB4">
      <w:pPr>
        <w:ind w:left="5387"/>
        <w:rPr>
          <w:i/>
          <w:sz w:val="28"/>
          <w:szCs w:val="28"/>
          <w:lang w:val="uk-UA"/>
        </w:rPr>
      </w:pPr>
      <w:r>
        <w:rPr>
          <w:i/>
          <w:sz w:val="28"/>
          <w:szCs w:val="28"/>
          <w:lang w:val="uk-UA"/>
        </w:rPr>
        <w:t>управління виконкому міської ради                                     Максим КУДІН</w:t>
      </w:r>
    </w:p>
    <w:sectPr w:rsidR="00070FB4" w:rsidSect="00793A0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3F69E" w14:textId="77777777" w:rsidR="00C917B3" w:rsidRDefault="00C917B3">
      <w:r>
        <w:separator/>
      </w:r>
    </w:p>
  </w:endnote>
  <w:endnote w:type="continuationSeparator" w:id="0">
    <w:p w14:paraId="401EB09B" w14:textId="77777777" w:rsidR="00C917B3" w:rsidRDefault="00C91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7B83A" w14:textId="77777777" w:rsidR="00C917B3" w:rsidRDefault="00C917B3">
      <w:r>
        <w:separator/>
      </w:r>
    </w:p>
  </w:footnote>
  <w:footnote w:type="continuationSeparator" w:id="0">
    <w:p w14:paraId="587B4D36" w14:textId="77777777" w:rsidR="00C917B3" w:rsidRDefault="00C917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A12FEE"/>
    <w:multiLevelType w:val="hybridMultilevel"/>
    <w:tmpl w:val="FF421ACC"/>
    <w:lvl w:ilvl="0" w:tplc="BE74FCA6">
      <w:start w:val="3"/>
      <w:numFmt w:val="bullet"/>
      <w:lvlText w:val="-"/>
      <w:lvlJc w:val="left"/>
      <w:pPr>
        <w:ind w:left="720" w:hanging="360"/>
      </w:pPr>
      <w:rPr>
        <w:rFonts w:ascii="Times New Roman" w:eastAsiaTheme="minorHAns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2A9"/>
    <w:rsid w:val="00003446"/>
    <w:rsid w:val="00004017"/>
    <w:rsid w:val="0001046C"/>
    <w:rsid w:val="00011400"/>
    <w:rsid w:val="000133BE"/>
    <w:rsid w:val="00014C2C"/>
    <w:rsid w:val="000162C4"/>
    <w:rsid w:val="00024AA3"/>
    <w:rsid w:val="000250C0"/>
    <w:rsid w:val="00027CA4"/>
    <w:rsid w:val="00030BAB"/>
    <w:rsid w:val="00047E3C"/>
    <w:rsid w:val="0005093D"/>
    <w:rsid w:val="00050D09"/>
    <w:rsid w:val="00051225"/>
    <w:rsid w:val="00052674"/>
    <w:rsid w:val="00056BAB"/>
    <w:rsid w:val="0006226C"/>
    <w:rsid w:val="00063332"/>
    <w:rsid w:val="000640D5"/>
    <w:rsid w:val="0006696B"/>
    <w:rsid w:val="000677FB"/>
    <w:rsid w:val="00070FB4"/>
    <w:rsid w:val="000720C8"/>
    <w:rsid w:val="00081AEB"/>
    <w:rsid w:val="0008470D"/>
    <w:rsid w:val="00087FF8"/>
    <w:rsid w:val="000905AD"/>
    <w:rsid w:val="00093999"/>
    <w:rsid w:val="000B2832"/>
    <w:rsid w:val="000B57FF"/>
    <w:rsid w:val="000B5A45"/>
    <w:rsid w:val="000D72DD"/>
    <w:rsid w:val="000E2F6E"/>
    <w:rsid w:val="000E4E0D"/>
    <w:rsid w:val="000F07C1"/>
    <w:rsid w:val="000F7420"/>
    <w:rsid w:val="00111AA8"/>
    <w:rsid w:val="00114D8B"/>
    <w:rsid w:val="0012129F"/>
    <w:rsid w:val="001350FE"/>
    <w:rsid w:val="00137C32"/>
    <w:rsid w:val="001405E5"/>
    <w:rsid w:val="001428EA"/>
    <w:rsid w:val="0015066C"/>
    <w:rsid w:val="00151B0C"/>
    <w:rsid w:val="00153290"/>
    <w:rsid w:val="00161537"/>
    <w:rsid w:val="0017020B"/>
    <w:rsid w:val="001713F2"/>
    <w:rsid w:val="00171436"/>
    <w:rsid w:val="00174C4B"/>
    <w:rsid w:val="001777BF"/>
    <w:rsid w:val="001809F8"/>
    <w:rsid w:val="00183025"/>
    <w:rsid w:val="00183518"/>
    <w:rsid w:val="00192995"/>
    <w:rsid w:val="001960C4"/>
    <w:rsid w:val="001B04FC"/>
    <w:rsid w:val="001B58E7"/>
    <w:rsid w:val="001D1804"/>
    <w:rsid w:val="001E2F36"/>
    <w:rsid w:val="00202B01"/>
    <w:rsid w:val="00202C7E"/>
    <w:rsid w:val="002127C7"/>
    <w:rsid w:val="00213F01"/>
    <w:rsid w:val="00216032"/>
    <w:rsid w:val="002176BF"/>
    <w:rsid w:val="0022639E"/>
    <w:rsid w:val="0023187A"/>
    <w:rsid w:val="00233044"/>
    <w:rsid w:val="00234A09"/>
    <w:rsid w:val="00241AA0"/>
    <w:rsid w:val="002508F9"/>
    <w:rsid w:val="0025121D"/>
    <w:rsid w:val="00251F71"/>
    <w:rsid w:val="002527F9"/>
    <w:rsid w:val="00253D44"/>
    <w:rsid w:val="00271CD7"/>
    <w:rsid w:val="00273B41"/>
    <w:rsid w:val="002819D8"/>
    <w:rsid w:val="00281C35"/>
    <w:rsid w:val="002955C6"/>
    <w:rsid w:val="002C78CC"/>
    <w:rsid w:val="002D702C"/>
    <w:rsid w:val="002E5512"/>
    <w:rsid w:val="002E5B32"/>
    <w:rsid w:val="002E6C8A"/>
    <w:rsid w:val="002E7651"/>
    <w:rsid w:val="003103A6"/>
    <w:rsid w:val="00322013"/>
    <w:rsid w:val="00322562"/>
    <w:rsid w:val="00323D0A"/>
    <w:rsid w:val="00324F1C"/>
    <w:rsid w:val="00335A71"/>
    <w:rsid w:val="00351F78"/>
    <w:rsid w:val="00353F24"/>
    <w:rsid w:val="00361661"/>
    <w:rsid w:val="00366B7F"/>
    <w:rsid w:val="00381D67"/>
    <w:rsid w:val="00391048"/>
    <w:rsid w:val="003937C3"/>
    <w:rsid w:val="003A39E7"/>
    <w:rsid w:val="003A56FE"/>
    <w:rsid w:val="003B06FA"/>
    <w:rsid w:val="003B3595"/>
    <w:rsid w:val="003B763E"/>
    <w:rsid w:val="003C1237"/>
    <w:rsid w:val="003C136A"/>
    <w:rsid w:val="003C2A1E"/>
    <w:rsid w:val="003D3DF9"/>
    <w:rsid w:val="003F007E"/>
    <w:rsid w:val="003F4A99"/>
    <w:rsid w:val="003F6D41"/>
    <w:rsid w:val="00400F02"/>
    <w:rsid w:val="00427277"/>
    <w:rsid w:val="0045296C"/>
    <w:rsid w:val="00470098"/>
    <w:rsid w:val="00495A4B"/>
    <w:rsid w:val="004A517E"/>
    <w:rsid w:val="004B3484"/>
    <w:rsid w:val="004D223A"/>
    <w:rsid w:val="004D339F"/>
    <w:rsid w:val="004E2CC4"/>
    <w:rsid w:val="00513DBA"/>
    <w:rsid w:val="0052235D"/>
    <w:rsid w:val="00526CE3"/>
    <w:rsid w:val="0054624F"/>
    <w:rsid w:val="00552FBE"/>
    <w:rsid w:val="00563B94"/>
    <w:rsid w:val="00564186"/>
    <w:rsid w:val="0056669B"/>
    <w:rsid w:val="00575CCE"/>
    <w:rsid w:val="005924D0"/>
    <w:rsid w:val="005941F1"/>
    <w:rsid w:val="005A2DA1"/>
    <w:rsid w:val="005A3926"/>
    <w:rsid w:val="005C27EE"/>
    <w:rsid w:val="005C3914"/>
    <w:rsid w:val="005C5CAF"/>
    <w:rsid w:val="005D55A3"/>
    <w:rsid w:val="005F072B"/>
    <w:rsid w:val="005F1F9E"/>
    <w:rsid w:val="005F5CF9"/>
    <w:rsid w:val="00606C5F"/>
    <w:rsid w:val="00607118"/>
    <w:rsid w:val="00614971"/>
    <w:rsid w:val="00616F4E"/>
    <w:rsid w:val="00627AA9"/>
    <w:rsid w:val="006308F4"/>
    <w:rsid w:val="006313B4"/>
    <w:rsid w:val="00632A7C"/>
    <w:rsid w:val="00642552"/>
    <w:rsid w:val="00643D4E"/>
    <w:rsid w:val="00651AB7"/>
    <w:rsid w:val="00654EB3"/>
    <w:rsid w:val="0065569F"/>
    <w:rsid w:val="00666B77"/>
    <w:rsid w:val="00672BD4"/>
    <w:rsid w:val="00682D3E"/>
    <w:rsid w:val="00695DF0"/>
    <w:rsid w:val="006A35B0"/>
    <w:rsid w:val="006A5FCC"/>
    <w:rsid w:val="006B642F"/>
    <w:rsid w:val="006B7C28"/>
    <w:rsid w:val="006C0533"/>
    <w:rsid w:val="006C42CD"/>
    <w:rsid w:val="006C51CA"/>
    <w:rsid w:val="006E6BDB"/>
    <w:rsid w:val="0070283F"/>
    <w:rsid w:val="00715C6A"/>
    <w:rsid w:val="007449E6"/>
    <w:rsid w:val="00766660"/>
    <w:rsid w:val="00775C62"/>
    <w:rsid w:val="00783E31"/>
    <w:rsid w:val="00793A0E"/>
    <w:rsid w:val="007B2BC6"/>
    <w:rsid w:val="007E3995"/>
    <w:rsid w:val="007E3FA3"/>
    <w:rsid w:val="007E4204"/>
    <w:rsid w:val="007F5988"/>
    <w:rsid w:val="007F5DFD"/>
    <w:rsid w:val="00805FC2"/>
    <w:rsid w:val="00815E19"/>
    <w:rsid w:val="00832C1E"/>
    <w:rsid w:val="00836423"/>
    <w:rsid w:val="00843977"/>
    <w:rsid w:val="00857A30"/>
    <w:rsid w:val="00862D38"/>
    <w:rsid w:val="00863D9E"/>
    <w:rsid w:val="0086519A"/>
    <w:rsid w:val="008716B0"/>
    <w:rsid w:val="00873C6F"/>
    <w:rsid w:val="00881532"/>
    <w:rsid w:val="0088269F"/>
    <w:rsid w:val="0088488F"/>
    <w:rsid w:val="00892D29"/>
    <w:rsid w:val="0089479D"/>
    <w:rsid w:val="008B02F7"/>
    <w:rsid w:val="008C65C7"/>
    <w:rsid w:val="008D4A61"/>
    <w:rsid w:val="008D5E80"/>
    <w:rsid w:val="008E3E3B"/>
    <w:rsid w:val="00901E4D"/>
    <w:rsid w:val="009030A0"/>
    <w:rsid w:val="009036C5"/>
    <w:rsid w:val="00912239"/>
    <w:rsid w:val="009171AC"/>
    <w:rsid w:val="00920E1A"/>
    <w:rsid w:val="00923F57"/>
    <w:rsid w:val="00924DF1"/>
    <w:rsid w:val="0094673F"/>
    <w:rsid w:val="009530A3"/>
    <w:rsid w:val="00956FAF"/>
    <w:rsid w:val="00971311"/>
    <w:rsid w:val="00972AF6"/>
    <w:rsid w:val="0099227F"/>
    <w:rsid w:val="009A1F8A"/>
    <w:rsid w:val="009A705B"/>
    <w:rsid w:val="009B17D6"/>
    <w:rsid w:val="009B475D"/>
    <w:rsid w:val="009D1906"/>
    <w:rsid w:val="009D3ED4"/>
    <w:rsid w:val="009E0684"/>
    <w:rsid w:val="009E3E1F"/>
    <w:rsid w:val="009E73E8"/>
    <w:rsid w:val="009F4714"/>
    <w:rsid w:val="009F6D8C"/>
    <w:rsid w:val="00A036F9"/>
    <w:rsid w:val="00A03C4A"/>
    <w:rsid w:val="00A11998"/>
    <w:rsid w:val="00A212A9"/>
    <w:rsid w:val="00A32308"/>
    <w:rsid w:val="00A342B5"/>
    <w:rsid w:val="00A521E2"/>
    <w:rsid w:val="00A5578E"/>
    <w:rsid w:val="00A72F50"/>
    <w:rsid w:val="00A72F66"/>
    <w:rsid w:val="00A903C5"/>
    <w:rsid w:val="00A90B8C"/>
    <w:rsid w:val="00AA7A5E"/>
    <w:rsid w:val="00AA7EAB"/>
    <w:rsid w:val="00AB0CE5"/>
    <w:rsid w:val="00AB782E"/>
    <w:rsid w:val="00AF45A1"/>
    <w:rsid w:val="00AF7004"/>
    <w:rsid w:val="00B015C2"/>
    <w:rsid w:val="00B029E4"/>
    <w:rsid w:val="00B079F6"/>
    <w:rsid w:val="00B11551"/>
    <w:rsid w:val="00B22C53"/>
    <w:rsid w:val="00B2345A"/>
    <w:rsid w:val="00B278FE"/>
    <w:rsid w:val="00B433E2"/>
    <w:rsid w:val="00B61E5E"/>
    <w:rsid w:val="00B70F35"/>
    <w:rsid w:val="00B742FB"/>
    <w:rsid w:val="00B76282"/>
    <w:rsid w:val="00B9327D"/>
    <w:rsid w:val="00BB5AF5"/>
    <w:rsid w:val="00BC2E88"/>
    <w:rsid w:val="00BC580A"/>
    <w:rsid w:val="00BD410C"/>
    <w:rsid w:val="00BE12CE"/>
    <w:rsid w:val="00BE25C7"/>
    <w:rsid w:val="00BF2954"/>
    <w:rsid w:val="00BF29F6"/>
    <w:rsid w:val="00BF56B3"/>
    <w:rsid w:val="00BF6B03"/>
    <w:rsid w:val="00C023F4"/>
    <w:rsid w:val="00C0503E"/>
    <w:rsid w:val="00C06DCF"/>
    <w:rsid w:val="00C1738B"/>
    <w:rsid w:val="00C239BB"/>
    <w:rsid w:val="00C43943"/>
    <w:rsid w:val="00C50B2F"/>
    <w:rsid w:val="00C52C9E"/>
    <w:rsid w:val="00C5765F"/>
    <w:rsid w:val="00C60F18"/>
    <w:rsid w:val="00C917B3"/>
    <w:rsid w:val="00CA0732"/>
    <w:rsid w:val="00CA13E7"/>
    <w:rsid w:val="00CA5913"/>
    <w:rsid w:val="00CB268F"/>
    <w:rsid w:val="00CC0603"/>
    <w:rsid w:val="00CC341E"/>
    <w:rsid w:val="00CC6CEB"/>
    <w:rsid w:val="00CD2375"/>
    <w:rsid w:val="00CD3108"/>
    <w:rsid w:val="00CD4654"/>
    <w:rsid w:val="00CE7413"/>
    <w:rsid w:val="00CE7EC3"/>
    <w:rsid w:val="00CF2E10"/>
    <w:rsid w:val="00D15E59"/>
    <w:rsid w:val="00D30E9A"/>
    <w:rsid w:val="00D37334"/>
    <w:rsid w:val="00D40827"/>
    <w:rsid w:val="00D43744"/>
    <w:rsid w:val="00D508BB"/>
    <w:rsid w:val="00D527E8"/>
    <w:rsid w:val="00D70F92"/>
    <w:rsid w:val="00D75F6C"/>
    <w:rsid w:val="00D86C0D"/>
    <w:rsid w:val="00DA0849"/>
    <w:rsid w:val="00DA3EF6"/>
    <w:rsid w:val="00DA5BBF"/>
    <w:rsid w:val="00DB47E8"/>
    <w:rsid w:val="00DD0292"/>
    <w:rsid w:val="00DD13B6"/>
    <w:rsid w:val="00DE7C3F"/>
    <w:rsid w:val="00DF4C59"/>
    <w:rsid w:val="00E035E2"/>
    <w:rsid w:val="00E03B76"/>
    <w:rsid w:val="00E0479C"/>
    <w:rsid w:val="00E052A8"/>
    <w:rsid w:val="00E100E1"/>
    <w:rsid w:val="00E112DA"/>
    <w:rsid w:val="00E118B4"/>
    <w:rsid w:val="00E11B2A"/>
    <w:rsid w:val="00E21C21"/>
    <w:rsid w:val="00E26867"/>
    <w:rsid w:val="00E44039"/>
    <w:rsid w:val="00E44D85"/>
    <w:rsid w:val="00E63CE1"/>
    <w:rsid w:val="00E665D2"/>
    <w:rsid w:val="00E77BE2"/>
    <w:rsid w:val="00E92992"/>
    <w:rsid w:val="00EA7FF4"/>
    <w:rsid w:val="00EB0ACF"/>
    <w:rsid w:val="00EB176F"/>
    <w:rsid w:val="00EB5A70"/>
    <w:rsid w:val="00EB5E7F"/>
    <w:rsid w:val="00EC45B9"/>
    <w:rsid w:val="00ED4957"/>
    <w:rsid w:val="00F02B98"/>
    <w:rsid w:val="00F049F8"/>
    <w:rsid w:val="00F14742"/>
    <w:rsid w:val="00F1757B"/>
    <w:rsid w:val="00F34D53"/>
    <w:rsid w:val="00F4634C"/>
    <w:rsid w:val="00F46FA8"/>
    <w:rsid w:val="00F5164F"/>
    <w:rsid w:val="00F579E0"/>
    <w:rsid w:val="00F624A3"/>
    <w:rsid w:val="00F66CB6"/>
    <w:rsid w:val="00F7694F"/>
    <w:rsid w:val="00F849AF"/>
    <w:rsid w:val="00F90D74"/>
    <w:rsid w:val="00F9220E"/>
    <w:rsid w:val="00F95D77"/>
    <w:rsid w:val="00FA04E9"/>
    <w:rsid w:val="00FA29AA"/>
    <w:rsid w:val="00FC6500"/>
    <w:rsid w:val="00FC73CB"/>
    <w:rsid w:val="00FD4281"/>
    <w:rsid w:val="00FD6725"/>
    <w:rsid w:val="00FE0CAD"/>
    <w:rsid w:val="00FE2F32"/>
    <w:rsid w:val="00FE67AE"/>
    <w:rsid w:val="00FF7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777BE"/>
  <w15:docId w15:val="{2BAFDAEA-D7E3-4205-A3C4-37EABF29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2A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212A9"/>
    <w:pPr>
      <w:spacing w:after="120"/>
      <w:ind w:left="283"/>
    </w:pPr>
    <w:rPr>
      <w:sz w:val="16"/>
      <w:szCs w:val="16"/>
    </w:rPr>
  </w:style>
  <w:style w:type="character" w:customStyle="1" w:styleId="30">
    <w:name w:val="Основной текст с отступом 3 Знак"/>
    <w:basedOn w:val="a0"/>
    <w:link w:val="3"/>
    <w:rsid w:val="00A212A9"/>
    <w:rPr>
      <w:rFonts w:ascii="Times New Roman" w:eastAsia="Times New Roman" w:hAnsi="Times New Roman" w:cs="Times New Roman"/>
      <w:sz w:val="16"/>
      <w:szCs w:val="16"/>
      <w:lang w:val="ru-RU" w:eastAsia="ru-RU"/>
    </w:rPr>
  </w:style>
  <w:style w:type="paragraph" w:customStyle="1" w:styleId="32">
    <w:name w:val="Основной текст с отступом 32"/>
    <w:basedOn w:val="a"/>
    <w:rsid w:val="00A212A9"/>
    <w:pPr>
      <w:suppressAutoHyphens/>
      <w:spacing w:after="120"/>
      <w:ind w:left="283"/>
    </w:pPr>
    <w:rPr>
      <w:sz w:val="16"/>
      <w:szCs w:val="16"/>
      <w:lang w:eastAsia="ar-SA"/>
    </w:rPr>
  </w:style>
  <w:style w:type="paragraph" w:customStyle="1" w:styleId="31">
    <w:name w:val="Основной текст с отступом 31"/>
    <w:basedOn w:val="a"/>
    <w:rsid w:val="00A212A9"/>
    <w:pPr>
      <w:suppressAutoHyphens/>
      <w:spacing w:after="120" w:line="100" w:lineRule="atLeast"/>
      <w:ind w:left="283"/>
    </w:pPr>
    <w:rPr>
      <w:kern w:val="1"/>
      <w:sz w:val="16"/>
      <w:szCs w:val="16"/>
      <w:lang w:val="uk-UA" w:eastAsia="hi-IN" w:bidi="hi-IN"/>
    </w:rPr>
  </w:style>
  <w:style w:type="paragraph" w:styleId="a3">
    <w:name w:val="header"/>
    <w:basedOn w:val="a"/>
    <w:link w:val="a4"/>
    <w:uiPriority w:val="99"/>
    <w:unhideWhenUsed/>
    <w:rsid w:val="00A212A9"/>
    <w:pPr>
      <w:tabs>
        <w:tab w:val="center" w:pos="4819"/>
        <w:tab w:val="right" w:pos="9639"/>
      </w:tabs>
    </w:pPr>
  </w:style>
  <w:style w:type="character" w:customStyle="1" w:styleId="a4">
    <w:name w:val="Верхний колонтитул Знак"/>
    <w:basedOn w:val="a0"/>
    <w:link w:val="a3"/>
    <w:uiPriority w:val="99"/>
    <w:rsid w:val="00A212A9"/>
    <w:rPr>
      <w:rFonts w:ascii="Times New Roman" w:eastAsia="Times New Roman" w:hAnsi="Times New Roman" w:cs="Times New Roman"/>
      <w:sz w:val="24"/>
      <w:szCs w:val="24"/>
      <w:lang w:val="ru-RU" w:eastAsia="ru-RU"/>
    </w:rPr>
  </w:style>
  <w:style w:type="character" w:styleId="a5">
    <w:name w:val="Strong"/>
    <w:basedOn w:val="a0"/>
    <w:uiPriority w:val="22"/>
    <w:qFormat/>
    <w:rsid w:val="00AA7A5E"/>
    <w:rPr>
      <w:b/>
      <w:bCs/>
    </w:rPr>
  </w:style>
  <w:style w:type="paragraph" w:styleId="a6">
    <w:name w:val="List Paragraph"/>
    <w:basedOn w:val="a"/>
    <w:uiPriority w:val="34"/>
    <w:qFormat/>
    <w:rsid w:val="00CF2E10"/>
    <w:pPr>
      <w:spacing w:after="160" w:line="259" w:lineRule="auto"/>
      <w:ind w:left="720"/>
      <w:contextualSpacing/>
    </w:pPr>
    <w:rPr>
      <w:rFonts w:asciiTheme="minorHAnsi" w:eastAsiaTheme="minorHAnsi" w:hAnsiTheme="minorHAnsi" w:cstheme="minorBidi"/>
      <w:sz w:val="22"/>
      <w:szCs w:val="22"/>
      <w:lang w:val="uk-UA" w:eastAsia="en-US"/>
    </w:rPr>
  </w:style>
  <w:style w:type="paragraph" w:styleId="a7">
    <w:name w:val="Balloon Text"/>
    <w:basedOn w:val="a"/>
    <w:link w:val="a8"/>
    <w:uiPriority w:val="99"/>
    <w:semiHidden/>
    <w:unhideWhenUsed/>
    <w:rsid w:val="000F07C1"/>
    <w:rPr>
      <w:rFonts w:ascii="Tahoma" w:hAnsi="Tahoma" w:cs="Tahoma"/>
      <w:sz w:val="16"/>
      <w:szCs w:val="16"/>
    </w:rPr>
  </w:style>
  <w:style w:type="character" w:customStyle="1" w:styleId="a8">
    <w:name w:val="Текст выноски Знак"/>
    <w:basedOn w:val="a0"/>
    <w:link w:val="a7"/>
    <w:uiPriority w:val="99"/>
    <w:semiHidden/>
    <w:rsid w:val="000F07C1"/>
    <w:rPr>
      <w:rFonts w:ascii="Tahoma" w:eastAsia="Times New Roman" w:hAnsi="Tahoma" w:cs="Tahoma"/>
      <w:sz w:val="16"/>
      <w:szCs w:val="16"/>
      <w:lang w:val="ru-RU" w:eastAsia="ru-RU"/>
    </w:rPr>
  </w:style>
  <w:style w:type="paragraph" w:styleId="a9">
    <w:name w:val="footer"/>
    <w:basedOn w:val="a"/>
    <w:link w:val="aa"/>
    <w:uiPriority w:val="99"/>
    <w:unhideWhenUsed/>
    <w:rsid w:val="00DD13B6"/>
    <w:pPr>
      <w:tabs>
        <w:tab w:val="center" w:pos="4819"/>
        <w:tab w:val="right" w:pos="9639"/>
      </w:tabs>
    </w:pPr>
  </w:style>
  <w:style w:type="character" w:customStyle="1" w:styleId="aa">
    <w:name w:val="Нижний колонтитул Знак"/>
    <w:basedOn w:val="a0"/>
    <w:link w:val="a9"/>
    <w:uiPriority w:val="99"/>
    <w:rsid w:val="00DD13B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043345">
      <w:bodyDiv w:val="1"/>
      <w:marLeft w:val="0"/>
      <w:marRight w:val="0"/>
      <w:marTop w:val="0"/>
      <w:marBottom w:val="0"/>
      <w:divBdr>
        <w:top w:val="none" w:sz="0" w:space="0" w:color="auto"/>
        <w:left w:val="none" w:sz="0" w:space="0" w:color="auto"/>
        <w:bottom w:val="none" w:sz="0" w:space="0" w:color="auto"/>
        <w:right w:val="none" w:sz="0" w:space="0" w:color="auto"/>
      </w:divBdr>
    </w:div>
    <w:div w:id="183044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200" b="0" i="0" u="none" strike="noStrike" kern="1200" spc="0" baseline="0">
                <a:solidFill>
                  <a:srgbClr val="FF0000"/>
                </a:solidFill>
                <a:latin typeface="Times New Roman" panose="02020603050405020304" pitchFamily="18" charset="0"/>
                <a:ea typeface="+mn-ea"/>
                <a:cs typeface="Times New Roman" panose="02020603050405020304" pitchFamily="18" charset="0"/>
              </a:defRPr>
            </a:pPr>
            <a:r>
              <a:rPr lang="ru-RU" b="1">
                <a:solidFill>
                  <a:sysClr val="windowText" lastClr="000000"/>
                </a:solidFill>
              </a:rPr>
              <a:t>Нараховані та сплачені суми за претензіями </a:t>
            </a:r>
          </a:p>
          <a:p>
            <a:pPr>
              <a:defRPr>
                <a:solidFill>
                  <a:srgbClr val="FF0000"/>
                </a:solidFill>
              </a:defRPr>
            </a:pPr>
            <a:r>
              <a:rPr lang="ru-RU" b="1">
                <a:solidFill>
                  <a:sysClr val="windowText" lastClr="000000"/>
                </a:solidFill>
              </a:rPr>
              <a:t>за 2024 рік</a:t>
            </a:r>
          </a:p>
        </c:rich>
      </c:tx>
      <c:overlay val="0"/>
      <c:spPr>
        <a:noFill/>
        <a:ln>
          <a:noFill/>
        </a:ln>
        <a:effectLst/>
      </c:spPr>
      <c:txPr>
        <a:bodyPr rot="0" spcFirstLastPara="1" vertOverflow="ellipsis" vert="horz" wrap="square" anchor="ctr" anchorCtr="1"/>
        <a:lstStyle/>
        <a:p>
          <a:pPr>
            <a:defRPr sz="1200" b="0" i="0" u="none" strike="noStrike" kern="1200" spc="0" baseline="0">
              <a:solidFill>
                <a:srgbClr val="FF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Лист1!$B$1</c:f>
              <c:strCache>
                <c:ptCount val="1"/>
                <c:pt idx="0">
                  <c:v>Нараховано</c:v>
                </c:pt>
              </c:strCache>
            </c:strRef>
          </c:tx>
          <c:spPr>
            <a:solidFill>
              <a:schemeClr val="accent3">
                <a:shade val="76000"/>
              </a:schemeClr>
            </a:solidFill>
            <a:ln>
              <a:noFill/>
            </a:ln>
            <a:effectLst/>
          </c:spPr>
          <c:invertIfNegative val="0"/>
          <c:dLbls>
            <c:dLbl>
              <c:idx val="0"/>
              <c:layout>
                <c:manualLayout>
                  <c:x val="-1.6563146997929608E-2"/>
                  <c:y val="-1.76366843033509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9D-4AF9-96C4-9DC0AECE88C7}"/>
                </c:ext>
              </c:extLst>
            </c:dLbl>
            <c:dLbl>
              <c:idx val="1"/>
              <c:layout>
                <c:manualLayout>
                  <c:x val="-3.7267080745341616E-2"/>
                  <c:y val="-2.46913580246913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9D-4AF9-96C4-9DC0AECE88C7}"/>
                </c:ext>
              </c:extLst>
            </c:dLbl>
            <c:dLbl>
              <c:idx val="2"/>
              <c:layout>
                <c:manualLayout>
                  <c:x val="-1.8633540372670808E-2"/>
                  <c:y val="-2.46913580246913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89D-4AF9-96C4-9DC0AECE88C7}"/>
                </c:ext>
              </c:extLst>
            </c:dLbl>
            <c:dLbl>
              <c:idx val="3"/>
              <c:layout>
                <c:manualLayout>
                  <c:x val="-2.2774327122153208E-2"/>
                  <c:y val="-2.11640211640211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89D-4AF9-96C4-9DC0AECE88C7}"/>
                </c:ext>
              </c:extLst>
            </c:dLbl>
            <c:dLbl>
              <c:idx val="4"/>
              <c:layout>
                <c:manualLayout>
                  <c:x val="-2.4844720496894408E-2"/>
                  <c:y val="-2.11640211640212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89D-4AF9-96C4-9DC0AECE88C7}"/>
                </c:ext>
              </c:extLst>
            </c:dLbl>
            <c:dLbl>
              <c:idx val="5"/>
              <c:layout>
                <c:manualLayout>
                  <c:x val="-4.9689440993788969E-2"/>
                  <c:y val="-3.17460317460317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89D-4AF9-96C4-9DC0AECE88C7}"/>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Травень</c:v>
                </c:pt>
                <c:pt idx="1">
                  <c:v>Червень</c:v>
                </c:pt>
                <c:pt idx="2">
                  <c:v>Липень</c:v>
                </c:pt>
                <c:pt idx="3">
                  <c:v>Серпень</c:v>
                </c:pt>
                <c:pt idx="4">
                  <c:v>Жовтень</c:v>
                </c:pt>
                <c:pt idx="5">
                  <c:v>Грудень</c:v>
                </c:pt>
              </c:strCache>
            </c:strRef>
          </c:cat>
          <c:val>
            <c:numRef>
              <c:f>Лист1!$B$2:$B$7</c:f>
              <c:numCache>
                <c:formatCode>General</c:formatCode>
                <c:ptCount val="6"/>
                <c:pt idx="0">
                  <c:v>431156.89</c:v>
                </c:pt>
                <c:pt idx="1">
                  <c:v>13352.46</c:v>
                </c:pt>
                <c:pt idx="2">
                  <c:v>340352.03</c:v>
                </c:pt>
                <c:pt idx="3">
                  <c:v>10999.73</c:v>
                </c:pt>
                <c:pt idx="4">
                  <c:v>2472.13</c:v>
                </c:pt>
                <c:pt idx="5">
                  <c:v>29028.29</c:v>
                </c:pt>
              </c:numCache>
            </c:numRef>
          </c:val>
          <c:extLst>
            <c:ext xmlns:c16="http://schemas.microsoft.com/office/drawing/2014/chart" uri="{C3380CC4-5D6E-409C-BE32-E72D297353CC}">
              <c16:uniqueId val="{00000006-A89D-4AF9-96C4-9DC0AECE88C7}"/>
            </c:ext>
          </c:extLst>
        </c:ser>
        <c:ser>
          <c:idx val="1"/>
          <c:order val="1"/>
          <c:tx>
            <c:strRef>
              <c:f>Лист1!$C$1</c:f>
              <c:strCache>
                <c:ptCount val="1"/>
                <c:pt idx="0">
                  <c:v>Сплачено</c:v>
                </c:pt>
              </c:strCache>
            </c:strRef>
          </c:tx>
          <c:spPr>
            <a:solidFill>
              <a:schemeClr val="accent3">
                <a:tint val="77000"/>
              </a:schemeClr>
            </a:solidFill>
            <a:ln>
              <a:noFill/>
            </a:ln>
            <a:effectLst/>
          </c:spPr>
          <c:invertIfNegative val="0"/>
          <c:dLbls>
            <c:dLbl>
              <c:idx val="0"/>
              <c:layout>
                <c:manualLayout>
                  <c:x val="1.8633540372670808E-2"/>
                  <c:y val="-4.23280423280424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89D-4AF9-96C4-9DC0AECE88C7}"/>
                </c:ext>
              </c:extLst>
            </c:dLbl>
            <c:dLbl>
              <c:idx val="1"/>
              <c:layout>
                <c:manualLayout>
                  <c:x val="1.8633540372670846E-2"/>
                  <c:y val="-2.11640211640211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89D-4AF9-96C4-9DC0AECE88C7}"/>
                </c:ext>
              </c:extLst>
            </c:dLbl>
            <c:dLbl>
              <c:idx val="2"/>
              <c:layout>
                <c:manualLayout>
                  <c:x val="3.3126293995859139E-2"/>
                  <c:y val="-3.17460317460317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89D-4AF9-96C4-9DC0AECE88C7}"/>
                </c:ext>
              </c:extLst>
            </c:dLbl>
            <c:dLbl>
              <c:idx val="3"/>
              <c:layout>
                <c:manualLayout>
                  <c:x val="2.0703933747411932E-2"/>
                  <c:y val="-4.23280423280424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89D-4AF9-96C4-9DC0AECE88C7}"/>
                </c:ext>
              </c:extLst>
            </c:dLbl>
            <c:dLbl>
              <c:idx val="4"/>
              <c:layout>
                <c:manualLayout>
                  <c:x val="1.4492753623188253E-2"/>
                  <c:y val="-1.76366843033511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A89D-4AF9-96C4-9DC0AECE88C7}"/>
                </c:ext>
              </c:extLst>
            </c:dLbl>
            <c:dLbl>
              <c:idx val="5"/>
              <c:layout>
                <c:manualLayout>
                  <c:x val="6.2111801242236021E-3"/>
                  <c:y val="-1.76366843033509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89D-4AF9-96C4-9DC0AECE88C7}"/>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Травень</c:v>
                </c:pt>
                <c:pt idx="1">
                  <c:v>Червень</c:v>
                </c:pt>
                <c:pt idx="2">
                  <c:v>Липень</c:v>
                </c:pt>
                <c:pt idx="3">
                  <c:v>Серпень</c:v>
                </c:pt>
                <c:pt idx="4">
                  <c:v>Жовтень</c:v>
                </c:pt>
                <c:pt idx="5">
                  <c:v>Грудень</c:v>
                </c:pt>
              </c:strCache>
            </c:strRef>
          </c:cat>
          <c:val>
            <c:numRef>
              <c:f>Лист1!$C$2:$C$7</c:f>
              <c:numCache>
                <c:formatCode>General</c:formatCode>
                <c:ptCount val="6"/>
                <c:pt idx="0">
                  <c:v>35765.279999999999</c:v>
                </c:pt>
                <c:pt idx="1">
                  <c:v>13352.46</c:v>
                </c:pt>
                <c:pt idx="2">
                  <c:v>340352.03</c:v>
                </c:pt>
                <c:pt idx="3">
                  <c:v>10999.73</c:v>
                </c:pt>
                <c:pt idx="4">
                  <c:v>2472.13</c:v>
                </c:pt>
                <c:pt idx="5">
                  <c:v>28203.93</c:v>
                </c:pt>
              </c:numCache>
            </c:numRef>
          </c:val>
          <c:extLst>
            <c:ext xmlns:c16="http://schemas.microsoft.com/office/drawing/2014/chart" uri="{C3380CC4-5D6E-409C-BE32-E72D297353CC}">
              <c16:uniqueId val="{0000000D-A89D-4AF9-96C4-9DC0AECE88C7}"/>
            </c:ext>
          </c:extLst>
        </c:ser>
        <c:dLbls>
          <c:showLegendKey val="0"/>
          <c:showVal val="0"/>
          <c:showCatName val="0"/>
          <c:showSerName val="0"/>
          <c:showPercent val="0"/>
          <c:showBubbleSize val="0"/>
        </c:dLbls>
        <c:gapWidth val="219"/>
        <c:overlap val="-27"/>
        <c:axId val="1769395632"/>
        <c:axId val="1769383984"/>
      </c:barChart>
      <c:catAx>
        <c:axId val="1769395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769383984"/>
        <c:crosses val="autoZero"/>
        <c:auto val="1"/>
        <c:lblAlgn val="ctr"/>
        <c:lblOffset val="100"/>
        <c:noMultiLvlLbl val="0"/>
      </c:catAx>
      <c:valAx>
        <c:axId val="1769383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769395632"/>
        <c:crosses val="autoZero"/>
        <c:crossBetween val="between"/>
      </c:valAx>
      <c:spPr>
        <a:noFill/>
        <a:ln>
          <a:noFill/>
        </a:ln>
        <a:effectLst/>
      </c:spPr>
    </c:plotArea>
    <c:legend>
      <c:legendPos val="b"/>
      <c:layout>
        <c:manualLayout>
          <c:xMode val="edge"/>
          <c:yMode val="edge"/>
          <c:x val="4.9997207795834032E-2"/>
          <c:y val="0"/>
          <c:w val="0.95000279220416595"/>
          <c:h val="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baseline="0">
                <a:solidFill>
                  <a:schemeClr val="tx1">
                    <a:lumMod val="65000"/>
                    <a:lumOff val="35000"/>
                  </a:schemeClr>
                </a:solidFill>
                <a:latin typeface="+mn-lt"/>
                <a:ea typeface="+mn-ea"/>
                <a:cs typeface="+mn-cs"/>
              </a:defRPr>
            </a:pPr>
            <a:r>
              <a:rPr lang="uk-UA"/>
              <a:t>Кількість справ 2024 року- 680 </a:t>
            </a:r>
          </a:p>
        </c:rich>
      </c:tx>
      <c:overlay val="0"/>
      <c:spPr>
        <a:noFill/>
        <a:ln>
          <a:noFill/>
        </a:ln>
        <a:effectLst/>
      </c:spPr>
      <c:txPr>
        <a:bodyPr rot="0" spcFirstLastPara="1" vertOverflow="ellipsis" vert="horz" wrap="square" anchor="ctr" anchorCtr="1"/>
        <a:lstStyle/>
        <a:p>
          <a:pPr>
            <a:defRPr sz="18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Кількість справ 2019 року</c:v>
                </c:pt>
              </c:strCache>
            </c:strRef>
          </c:tx>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0-AECA-43F1-903D-DC2229D95063}"/>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1-AECA-43F1-903D-DC2229D95063}"/>
              </c:ext>
            </c:extLst>
          </c:dPt>
          <c:dPt>
            <c:idx val="2"/>
            <c:bubble3D val="0"/>
            <c:spPr>
              <a:solidFill>
                <a:schemeClr val="accent3">
                  <a:alpha val="90000"/>
                </a:schemeClr>
              </a:solidFill>
              <a:ln w="19050">
                <a:solidFill>
                  <a:schemeClr val="accent3">
                    <a:lumMod val="75000"/>
                  </a:schemeClr>
                </a:solidFill>
              </a:ln>
              <a:effectLst>
                <a:innerShdw blurRad="114300">
                  <a:schemeClr val="accent3">
                    <a:lumMod val="75000"/>
                  </a:schemeClr>
                </a:innerShdw>
              </a:effectLst>
              <a:scene3d>
                <a:camera prst="orthographicFront"/>
                <a:lightRig rig="threePt" dir="t"/>
              </a:scene3d>
              <a:sp3d contourW="19050" prstMaterial="flat">
                <a:contourClr>
                  <a:schemeClr val="accent3">
                    <a:lumMod val="75000"/>
                  </a:schemeClr>
                </a:contourClr>
              </a:sp3d>
            </c:spPr>
            <c:extLst>
              <c:ext xmlns:c16="http://schemas.microsoft.com/office/drawing/2014/chart" uri="{C3380CC4-5D6E-409C-BE32-E72D297353CC}">
                <c16:uniqueId val="{00000002-AECA-43F1-903D-DC2229D95063}"/>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ru-RU"/>
                </a:p>
              </c:txPr>
              <c:dLblPos val="inEnd"/>
              <c:showLegendKey val="0"/>
              <c:showVal val="0"/>
              <c:showCatName val="1"/>
              <c:showSerName val="0"/>
              <c:showPercent val="0"/>
              <c:showBubbleSize val="0"/>
              <c:extLst>
                <c:ext xmlns:c16="http://schemas.microsoft.com/office/drawing/2014/chart" uri="{C3380CC4-5D6E-409C-BE32-E72D297353CC}">
                  <c16:uniqueId val="{00000000-AECA-43F1-903D-DC2229D95063}"/>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ru-RU"/>
                </a:p>
              </c:txPr>
              <c:dLblPos val="inEnd"/>
              <c:showLegendKey val="0"/>
              <c:showVal val="0"/>
              <c:showCatName val="1"/>
              <c:showSerName val="0"/>
              <c:showPercent val="0"/>
              <c:showBubbleSize val="0"/>
              <c:extLst>
                <c:ext xmlns:c16="http://schemas.microsoft.com/office/drawing/2014/chart" uri="{C3380CC4-5D6E-409C-BE32-E72D297353CC}">
                  <c16:uniqueId val="{00000001-AECA-43F1-903D-DC2229D95063}"/>
                </c:ext>
              </c:extLst>
            </c:dLbl>
            <c:dLbl>
              <c:idx val="2"/>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ru-RU"/>
                </a:p>
              </c:txPr>
              <c:dLblPos val="inEnd"/>
              <c:showLegendKey val="0"/>
              <c:showVal val="0"/>
              <c:showCatName val="1"/>
              <c:showSerName val="0"/>
              <c:showPercent val="0"/>
              <c:showBubbleSize val="0"/>
              <c:extLst>
                <c:ext xmlns:c16="http://schemas.microsoft.com/office/drawing/2014/chart" uri="{C3380CC4-5D6E-409C-BE32-E72D297353CC}">
                  <c16:uniqueId val="{00000002-AECA-43F1-903D-DC2229D95063}"/>
                </c:ext>
              </c:extLst>
            </c:dLbl>
            <c:spPr>
              <a:solidFill>
                <a:sysClr val="window" lastClr="FFFFFF">
                  <a:alpha val="90000"/>
                </a:sysClr>
              </a:solidFill>
              <a:ln w="12700" cap="flat" cmpd="sng" algn="ctr">
                <a:solidFill>
                  <a:srgbClr val="4472C4"/>
                </a:solidFill>
                <a:round/>
              </a:ln>
              <a:effectLst>
                <a:outerShdw blurRad="50800" dist="38100" dir="2700000" algn="tl" rotWithShape="0">
                  <a:srgbClr val="4472C4">
                    <a:lumMod val="75000"/>
                    <a:alpha val="40000"/>
                  </a:srgbClr>
                </a:outerShdw>
              </a:effectLst>
            </c:spPr>
            <c:dLblPos val="inEnd"/>
            <c:showLegendKey val="0"/>
            <c:showVal val="0"/>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Лист1!$A$2:$A$4</c:f>
              <c:strCache>
                <c:ptCount val="3"/>
                <c:pt idx="0">
                  <c:v>Судові справи цивільної юрисдикції</c:v>
                </c:pt>
                <c:pt idx="1">
                  <c:v>Судові справи адміністративної юрисдикції</c:v>
                </c:pt>
                <c:pt idx="2">
                  <c:v>Справи господарської юрисдикції</c:v>
                </c:pt>
              </c:strCache>
            </c:strRef>
          </c:cat>
          <c:val>
            <c:numRef>
              <c:f>Лист1!$B$2:$B$4</c:f>
              <c:numCache>
                <c:formatCode>General</c:formatCode>
                <c:ptCount val="3"/>
                <c:pt idx="0">
                  <c:v>359</c:v>
                </c:pt>
                <c:pt idx="1">
                  <c:v>72</c:v>
                </c:pt>
                <c:pt idx="2">
                  <c:v>249</c:v>
                </c:pt>
              </c:numCache>
            </c:numRef>
          </c:val>
          <c:extLst>
            <c:ext xmlns:c16="http://schemas.microsoft.com/office/drawing/2014/chart" uri="{C3380CC4-5D6E-409C-BE32-E72D297353CC}">
              <c16:uniqueId val="{00000004-AECA-43F1-903D-DC2229D95063}"/>
            </c:ext>
          </c:extLst>
        </c:ser>
        <c:ser>
          <c:idx val="1"/>
          <c:order val="1"/>
          <c:tx>
            <c:strRef>
              <c:f>Лист1!$C$1</c:f>
              <c:strCache>
                <c:ptCount val="1"/>
                <c:pt idx="0">
                  <c:v>ав у 2020 році</c:v>
                </c:pt>
              </c:strCache>
            </c:strRef>
          </c:tx>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0-4DB1-4B19-81B1-5E7FD2D05B34}"/>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1-4DB1-4B19-81B1-5E7FD2D05B34}"/>
              </c:ext>
            </c:extLst>
          </c:dPt>
          <c:dPt>
            <c:idx val="2"/>
            <c:bubble3D val="0"/>
            <c:spPr>
              <a:solidFill>
                <a:schemeClr val="accent3">
                  <a:alpha val="90000"/>
                </a:schemeClr>
              </a:solidFill>
              <a:ln w="19050">
                <a:solidFill>
                  <a:schemeClr val="accent3">
                    <a:lumMod val="75000"/>
                  </a:schemeClr>
                </a:solidFill>
              </a:ln>
              <a:effectLst>
                <a:innerShdw blurRad="114300">
                  <a:schemeClr val="accent3">
                    <a:lumMod val="75000"/>
                  </a:schemeClr>
                </a:innerShdw>
              </a:effectLst>
              <a:scene3d>
                <a:camera prst="orthographicFront"/>
                <a:lightRig rig="threePt" dir="t"/>
              </a:scene3d>
              <a:sp3d contourW="19050" prstMaterial="flat">
                <a:contourClr>
                  <a:schemeClr val="accent3">
                    <a:lumMod val="75000"/>
                  </a:schemeClr>
                </a:contourClr>
              </a:sp3d>
            </c:spPr>
            <c:extLst>
              <c:ext xmlns:c16="http://schemas.microsoft.com/office/drawing/2014/chart" uri="{C3380CC4-5D6E-409C-BE32-E72D297353CC}">
                <c16:uniqueId val="{00000002-4DB1-4B19-81B1-5E7FD2D05B34}"/>
              </c:ext>
            </c:extLst>
          </c:dPt>
          <c:dLbls>
            <c:dLbl>
              <c:idx val="0"/>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solidFill>
                      <a:effectLst/>
                      <a:latin typeface="+mn-lt"/>
                      <a:ea typeface="+mn-ea"/>
                      <a:cs typeface="+mn-cs"/>
                    </a:defRPr>
                  </a:pPr>
                  <a:endParaRPr lang="ru-RU"/>
                </a:p>
              </c:txPr>
              <c:dLblPos val="inEnd"/>
              <c:showLegendKey val="0"/>
              <c:showVal val="0"/>
              <c:showCatName val="1"/>
              <c:showSerName val="0"/>
              <c:showPercent val="0"/>
              <c:showBubbleSize val="0"/>
              <c:extLst>
                <c:ext xmlns:c16="http://schemas.microsoft.com/office/drawing/2014/chart" uri="{C3380CC4-5D6E-409C-BE32-E72D297353CC}">
                  <c16:uniqueId val="{00000000-4DB1-4B19-81B1-5E7FD2D05B34}"/>
                </c:ext>
              </c:extLst>
            </c:dLbl>
            <c:dLbl>
              <c:idx val="1"/>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ru-RU"/>
                </a:p>
              </c:txPr>
              <c:dLblPos val="inEnd"/>
              <c:showLegendKey val="0"/>
              <c:showVal val="0"/>
              <c:showCatName val="1"/>
              <c:showSerName val="0"/>
              <c:showPercent val="0"/>
              <c:showBubbleSize val="0"/>
              <c:extLst>
                <c:ext xmlns:c16="http://schemas.microsoft.com/office/drawing/2014/chart" uri="{C3380CC4-5D6E-409C-BE32-E72D297353CC}">
                  <c16:uniqueId val="{00000001-4DB1-4B19-81B1-5E7FD2D05B34}"/>
                </c:ext>
              </c:extLst>
            </c:dLbl>
            <c:dLbl>
              <c:idx val="2"/>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ru-RU"/>
                </a:p>
              </c:txPr>
              <c:dLblPos val="inEnd"/>
              <c:showLegendKey val="0"/>
              <c:showVal val="0"/>
              <c:showCatName val="1"/>
              <c:showSerName val="0"/>
              <c:showPercent val="0"/>
              <c:showBubbleSize val="0"/>
              <c:extLst>
                <c:ext xmlns:c16="http://schemas.microsoft.com/office/drawing/2014/chart" uri="{C3380CC4-5D6E-409C-BE32-E72D297353CC}">
                  <c16:uniqueId val="{00000002-4DB1-4B19-81B1-5E7FD2D05B34}"/>
                </c:ext>
              </c:extLst>
            </c:dLbl>
            <c:spPr>
              <a:solidFill>
                <a:sysClr val="window" lastClr="FFFFFF">
                  <a:alpha val="90000"/>
                </a:sysClr>
              </a:solidFill>
              <a:ln w="12700" cap="flat" cmpd="sng" algn="ctr">
                <a:solidFill>
                  <a:srgbClr val="ED7D31"/>
                </a:solidFill>
                <a:round/>
              </a:ln>
              <a:effectLst>
                <a:outerShdw blurRad="50800" dist="38100" dir="2700000" algn="tl" rotWithShape="0">
                  <a:srgbClr val="ED7D31">
                    <a:lumMod val="75000"/>
                    <a:alpha val="40000"/>
                  </a:srgbClr>
                </a:outerShdw>
              </a:effectLst>
            </c:spPr>
            <c:dLblPos val="inEnd"/>
            <c:showLegendKey val="0"/>
            <c:showVal val="0"/>
            <c:showCatName val="1"/>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Лист1!$A$2:$A$4</c:f>
              <c:strCache>
                <c:ptCount val="3"/>
                <c:pt idx="0">
                  <c:v>Судові справи цивільної юрисдикції</c:v>
                </c:pt>
                <c:pt idx="1">
                  <c:v>Судові справи адміністративної юрисдикції</c:v>
                </c:pt>
                <c:pt idx="2">
                  <c:v>Справи господарської юрисдикції</c:v>
                </c:pt>
              </c:strCache>
            </c:strRef>
          </c:cat>
          <c:val>
            <c:numRef>
              <c:f>Лист1!$C$2:$C$4</c:f>
              <c:numCache>
                <c:formatCode>General</c:formatCode>
                <c:ptCount val="3"/>
              </c:numCache>
            </c:numRef>
          </c:val>
          <c:extLst>
            <c:ext xmlns:c16="http://schemas.microsoft.com/office/drawing/2014/chart" uri="{C3380CC4-5D6E-409C-BE32-E72D297353CC}">
              <c16:uniqueId val="{00000005-AECA-43F1-903D-DC2229D95063}"/>
            </c:ext>
          </c:extLst>
        </c:ser>
        <c:dLbls>
          <c:dLblPos val="inEnd"/>
          <c:showLegendKey val="0"/>
          <c:showVal val="0"/>
          <c:showCatName val="1"/>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uk-UA">
                <a:solidFill>
                  <a:sysClr val="windowText" lastClr="000000"/>
                </a:solidFill>
              </a:rPr>
              <a:t>Загальна кількість опрацьованої кореспонденції</a:t>
            </a:r>
          </a:p>
          <a:p>
            <a:pPr>
              <a:defRPr sz="1400" b="0" spc="0">
                <a:solidFill>
                  <a:sysClr val="windowText" lastClr="000000"/>
                </a:solidFill>
              </a:defRPr>
            </a:pPr>
            <a:r>
              <a:rPr lang="uk-UA" sz="1200">
                <a:solidFill>
                  <a:sysClr val="windowText" lastClr="000000"/>
                </a:solidFill>
              </a:rPr>
              <a:t>10403 документи</a:t>
            </a:r>
          </a:p>
        </c:rich>
      </c:tx>
      <c:layout>
        <c:manualLayout>
          <c:xMode val="edge"/>
          <c:yMode val="edge"/>
          <c:x val="0.36464069219872636"/>
          <c:y val="0"/>
        </c:manualLayout>
      </c:layout>
      <c:overlay val="1"/>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ru-RU"/>
        </a:p>
      </c:txPr>
    </c:title>
    <c:autoTitleDeleted val="0"/>
    <c:plotArea>
      <c:layout/>
      <c:barChart>
        <c:barDir val="col"/>
        <c:grouping val="clustered"/>
        <c:varyColors val="0"/>
        <c:ser>
          <c:idx val="0"/>
          <c:order val="0"/>
          <c:tx>
            <c:strRef>
              <c:f>Лист1!$C$1</c:f>
              <c:strCache>
                <c:ptCount val="1"/>
                <c:pt idx="0">
                  <c:v>Ряд 2</c:v>
                </c:pt>
              </c:strCache>
            </c:strRef>
          </c:tx>
          <c:spPr>
            <a:solidFill>
              <a:schemeClr val="accent2"/>
            </a:solidFill>
            <a:ln>
              <a:solidFill>
                <a:schemeClr val="tx1"/>
              </a:solidFill>
            </a:ln>
            <a:effectLst/>
            <a:sp3d/>
          </c:spPr>
          <c:invertIfNegative val="0"/>
          <c:dPt>
            <c:idx val="1"/>
            <c:invertIfNegative val="0"/>
            <c:bubble3D val="0"/>
            <c:spPr>
              <a:solidFill>
                <a:srgbClr val="FF0000"/>
              </a:solidFill>
              <a:ln>
                <a:solidFill>
                  <a:schemeClr val="tx1"/>
                </a:solidFill>
              </a:ln>
              <a:effectLst/>
              <a:sp3d/>
            </c:spPr>
            <c:extLst>
              <c:ext xmlns:c16="http://schemas.microsoft.com/office/drawing/2014/chart" uri="{C3380CC4-5D6E-409C-BE32-E72D297353CC}">
                <c16:uniqueId val="{00000001-1038-427D-8E37-7A2F62C03A05}"/>
              </c:ext>
            </c:extLst>
          </c:dPt>
          <c:dPt>
            <c:idx val="2"/>
            <c:invertIfNegative val="0"/>
            <c:bubble3D val="0"/>
            <c:spPr>
              <a:solidFill>
                <a:srgbClr val="00B0F0"/>
              </a:solidFill>
              <a:ln>
                <a:solidFill>
                  <a:schemeClr val="tx1"/>
                </a:solidFill>
              </a:ln>
              <a:effectLst/>
              <a:sp3d/>
            </c:spPr>
            <c:extLst>
              <c:ext xmlns:c16="http://schemas.microsoft.com/office/drawing/2014/chart" uri="{C3380CC4-5D6E-409C-BE32-E72D297353CC}">
                <c16:uniqueId val="{00000003-1038-427D-8E37-7A2F62C03A05}"/>
              </c:ext>
            </c:extLst>
          </c:dPt>
          <c:dPt>
            <c:idx val="3"/>
            <c:invertIfNegative val="0"/>
            <c:bubble3D val="0"/>
            <c:spPr>
              <a:solidFill>
                <a:srgbClr val="00B050"/>
              </a:solidFill>
              <a:ln>
                <a:solidFill>
                  <a:schemeClr val="tx1"/>
                </a:solidFill>
              </a:ln>
              <a:effectLst/>
              <a:sp3d/>
            </c:spPr>
            <c:extLst>
              <c:ext xmlns:c16="http://schemas.microsoft.com/office/drawing/2014/chart" uri="{C3380CC4-5D6E-409C-BE32-E72D297353CC}">
                <c16:uniqueId val="{00000005-1038-427D-8E37-7A2F62C03A05}"/>
              </c:ext>
            </c:extLst>
          </c:dPt>
          <c:dPt>
            <c:idx val="4"/>
            <c:invertIfNegative val="0"/>
            <c:bubble3D val="0"/>
            <c:spPr>
              <a:solidFill>
                <a:srgbClr val="7030A0"/>
              </a:solidFill>
              <a:ln>
                <a:solidFill>
                  <a:schemeClr val="tx1"/>
                </a:solidFill>
              </a:ln>
              <a:effectLst/>
              <a:sp3d/>
            </c:spPr>
            <c:extLst>
              <c:ext xmlns:c16="http://schemas.microsoft.com/office/drawing/2014/chart" uri="{C3380CC4-5D6E-409C-BE32-E72D297353CC}">
                <c16:uniqueId val="{00000007-1038-427D-8E37-7A2F62C03A05}"/>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strRef>
              <c:f>Лист1!$A$2:$A$7</c:f>
              <c:strCache>
                <c:ptCount val="5"/>
                <c:pt idx="0">
                  <c:v>Кореспонденція від органів суду та Державної виконавчої служби</c:v>
                </c:pt>
                <c:pt idx="1">
                  <c:v>Листування зі структурними підрозділами</c:v>
                </c:pt>
                <c:pt idx="2">
                  <c:v>Кореспонденція від правоохоронних органів</c:v>
                </c:pt>
                <c:pt idx="3">
                  <c:v>Звернення, листи, запиди фізичних і юридичних осіб</c:v>
                </c:pt>
                <c:pt idx="4">
                  <c:v>Кореспонденція від органів державної влади та їх територіальних підрозділів, депутатів </c:v>
                </c:pt>
              </c:strCache>
            </c:strRef>
          </c:cat>
          <c:val>
            <c:numRef>
              <c:f>Лист1!$C$2:$C$7</c:f>
              <c:numCache>
                <c:formatCode>General</c:formatCode>
                <c:ptCount val="6"/>
                <c:pt idx="0">
                  <c:v>7905</c:v>
                </c:pt>
                <c:pt idx="1">
                  <c:v>1526</c:v>
                </c:pt>
                <c:pt idx="2">
                  <c:v>853</c:v>
                </c:pt>
                <c:pt idx="3">
                  <c:v>362</c:v>
                </c:pt>
                <c:pt idx="4">
                  <c:v>119</c:v>
                </c:pt>
              </c:numCache>
            </c:numRef>
          </c:val>
          <c:extLst>
            <c:ext xmlns:c16="http://schemas.microsoft.com/office/drawing/2014/chart" uri="{C3380CC4-5D6E-409C-BE32-E72D297353CC}">
              <c16:uniqueId val="{00000008-1038-427D-8E37-7A2F62C03A05}"/>
            </c:ext>
          </c:extLst>
        </c:ser>
        <c:ser>
          <c:idx val="2"/>
          <c:order val="1"/>
          <c:tx>
            <c:strRef>
              <c:f>Лист1!$E$1</c:f>
              <c:strCache>
                <c:ptCount val="1"/>
                <c:pt idx="0">
                  <c:v>Ряд 4</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6350" cap="flat" cmpd="sng" algn="ctr">
                      <a:solidFill>
                        <a:schemeClr val="tx1"/>
                      </a:solidFill>
                      <a:prstDash val="solid"/>
                      <a:round/>
                    </a:ln>
                    <a:effectLst/>
                  </c:spPr>
                </c15:leaderLines>
              </c:ext>
            </c:extLst>
          </c:dLbls>
          <c:cat>
            <c:strRef>
              <c:f>Лист1!$A$2:$A$7</c:f>
              <c:strCache>
                <c:ptCount val="5"/>
                <c:pt idx="0">
                  <c:v>Кореспонденція від органів суду та Державної виконавчої служби</c:v>
                </c:pt>
                <c:pt idx="1">
                  <c:v>Листування зі структурними підрозділами</c:v>
                </c:pt>
                <c:pt idx="2">
                  <c:v>Кореспонденція від правоохоронних органів</c:v>
                </c:pt>
                <c:pt idx="3">
                  <c:v>Звернення, листи, запиди фізичних і юридичних осіб</c:v>
                </c:pt>
                <c:pt idx="4">
                  <c:v>Кореспонденція від органів державної влади та їх територіальних підрозділів, депутатів </c:v>
                </c:pt>
              </c:strCache>
            </c:strRef>
          </c:cat>
          <c:val>
            <c:numRef>
              <c:f>Лист1!$E$2:$E$5</c:f>
              <c:numCache>
                <c:formatCode>General</c:formatCode>
                <c:ptCount val="4"/>
              </c:numCache>
            </c:numRef>
          </c:val>
          <c:extLst>
            <c:ext xmlns:c16="http://schemas.microsoft.com/office/drawing/2014/chart" uri="{C3380CC4-5D6E-409C-BE32-E72D297353CC}">
              <c16:uniqueId val="{00000009-1038-427D-8E37-7A2F62C03A05}"/>
            </c:ext>
          </c:extLst>
        </c:ser>
        <c:dLbls>
          <c:showLegendKey val="0"/>
          <c:showVal val="0"/>
          <c:showCatName val="0"/>
          <c:showSerName val="0"/>
          <c:showPercent val="0"/>
          <c:showBubbleSize val="0"/>
        </c:dLbls>
        <c:gapWidth val="150"/>
        <c:axId val="211212160"/>
        <c:axId val="211213696"/>
      </c:barChart>
      <c:catAx>
        <c:axId val="211212160"/>
        <c:scaling>
          <c:orientation val="minMax"/>
        </c:scaling>
        <c:delete val="0"/>
        <c:axPos val="b"/>
        <c:numFmt formatCode="General" sourceLinked="1"/>
        <c:majorTickMark val="out"/>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211213696"/>
        <c:crosses val="autoZero"/>
        <c:auto val="1"/>
        <c:lblAlgn val="ctr"/>
        <c:lblOffset val="100"/>
        <c:noMultiLvlLbl val="0"/>
      </c:catAx>
      <c:valAx>
        <c:axId val="211213696"/>
        <c:scaling>
          <c:orientation val="minMax"/>
        </c:scaling>
        <c:delete val="1"/>
        <c:axPos val="l"/>
        <c:majorGridlines>
          <c:spPr>
            <a:ln w="9525" cap="flat" cmpd="sng" algn="ctr">
              <a:solidFill>
                <a:schemeClr val="tx1">
                  <a:lumMod val="15000"/>
                  <a:lumOff val="85000"/>
                </a:schemeClr>
              </a:solidFill>
              <a:prstDash val="solid"/>
              <a:round/>
            </a:ln>
            <a:effectLst/>
          </c:spPr>
        </c:majorGridlines>
        <c:numFmt formatCode="General" sourceLinked="1"/>
        <c:majorTickMark val="out"/>
        <c:minorTickMark val="none"/>
        <c:tickLblPos val="nextTo"/>
        <c:crossAx val="211212160"/>
        <c:crosses val="autoZero"/>
        <c:crossBetween val="between"/>
        <c:majorUnit val="500"/>
        <c:minorUnit val="100"/>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prstDash val="solid"/>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DF5D0-4C1D-43CC-9548-7AD72147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7</Pages>
  <Words>2839</Words>
  <Characters>16188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Executive Committee of the Kryvyi Rih City Council</Company>
  <LinksUpToDate>false</LinksUpToDate>
  <CharactersWithSpaces>18990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urist2</dc:creator>
  <cp:keywords/>
  <dc:description/>
  <cp:lastModifiedBy>opr3</cp:lastModifiedBy>
  <cp:revision>270</cp:revision>
  <cp:lastPrinted>2025-01-24T12:27:00Z</cp:lastPrinted>
  <dcterms:created xsi:type="dcterms:W3CDTF">2025-01-17T07:48:00Z</dcterms:created>
  <dcterms:modified xsi:type="dcterms:W3CDTF">2025-01-27T12:33:00Z</dcterms:modified>
</cp:coreProperties>
</file>