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D06CCF" w:rsidP="00ED6BA9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66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66EA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D06CCF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Директор департаменту</w:t>
      </w:r>
    </w:p>
    <w:p w:rsidR="0097209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розвитку інфраструктури міста</w:t>
      </w:r>
    </w:p>
    <w:p w:rsidR="0097209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97209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66EA6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заступник голови комісії</w:t>
      </w:r>
    </w:p>
    <w:p w:rsidR="00966EA6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6EA6" w:rsidRPr="00BC07BB" w:rsidRDefault="00966EA6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___________________ Іван Карий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D06CCF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294E3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proofErr w:type="spellStart"/>
      <w:r w:rsidRPr="009D7189">
        <w:rPr>
          <w:bCs/>
          <w:i/>
          <w:iCs/>
          <w:sz w:val="28"/>
          <w:szCs w:val="28"/>
        </w:rPr>
        <w:t>засідання</w:t>
      </w:r>
      <w:proofErr w:type="spellEnd"/>
      <w:r w:rsidRPr="009D7189">
        <w:rPr>
          <w:bCs/>
          <w:i/>
          <w:iCs/>
          <w:sz w:val="28"/>
          <w:szCs w:val="28"/>
        </w:rPr>
        <w:t xml:space="preserve">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</w:t>
      </w:r>
      <w:proofErr w:type="gramStart"/>
      <w:r w:rsidR="009D7189" w:rsidRPr="009D7189">
        <w:rPr>
          <w:bCs/>
          <w:i/>
          <w:sz w:val="28"/>
          <w:szCs w:val="28"/>
          <w:lang w:val="uk-UA" w:eastAsia="uk-UA" w:bidi="uk-UA"/>
        </w:rPr>
        <w:t>с</w:t>
      </w:r>
      <w:proofErr w:type="gramEnd"/>
      <w:r w:rsidR="009D7189" w:rsidRPr="009D7189">
        <w:rPr>
          <w:bCs/>
          <w:i/>
          <w:sz w:val="28"/>
          <w:szCs w:val="28"/>
          <w:lang w:val="uk-UA" w:eastAsia="uk-UA" w:bidi="uk-UA"/>
        </w:rPr>
        <w:t>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94E30">
        <w:rPr>
          <w:rFonts w:ascii="Times New Roman" w:hAnsi="Times New Roman" w:cs="Times New Roman"/>
          <w:sz w:val="28"/>
          <w:szCs w:val="28"/>
          <w:lang w:val="uk-UA"/>
        </w:rPr>
        <w:t>30.07</w:t>
      </w:r>
      <w:r w:rsidR="00966EA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Default="00966EA6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Карий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- заступник голови комісії</w:t>
      </w:r>
    </w:p>
    <w:p w:rsidR="00966EA6" w:rsidRDefault="00966EA6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Іван Олександрович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5782"/>
      </w:tblGrid>
      <w:tr w:rsidR="009D7189" w:rsidRPr="009D7189" w:rsidTr="00067C99">
        <w:trPr>
          <w:trHeight w:val="40"/>
        </w:trPr>
        <w:tc>
          <w:tcPr>
            <w:tcW w:w="3991" w:type="dxa"/>
          </w:tcPr>
          <w:p w:rsidR="009D7189" w:rsidRPr="009D7189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9D7189" w:rsidRP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:rsidR="00FB7F3D" w:rsidRDefault="00FB7F3D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Король                                                                                                 </w:t>
            </w:r>
          </w:p>
          <w:p w:rsidR="00294E30" w:rsidRP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Руслан Васильович</w:t>
            </w:r>
          </w:p>
        </w:tc>
        <w:tc>
          <w:tcPr>
            <w:tcW w:w="5782" w:type="dxa"/>
          </w:tcPr>
          <w:p w:rsidR="009D7189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 підприємства «Кривбасводоканал»</w:t>
            </w:r>
          </w:p>
          <w:p w:rsidR="00294E30" w:rsidRDefault="00294E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Pr="009D7189" w:rsidRDefault="00294E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депутат міської ради</w:t>
            </w:r>
          </w:p>
        </w:tc>
      </w:tr>
      <w:tr w:rsidR="009D7189" w:rsidRPr="009D7189" w:rsidTr="00067C99">
        <w:trPr>
          <w:trHeight w:val="40"/>
        </w:trPr>
        <w:tc>
          <w:tcPr>
            <w:tcW w:w="3991" w:type="dxa"/>
          </w:tcPr>
          <w:p w:rsidR="00FB7F3D" w:rsidRDefault="00FB7F3D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Pr="009D7189" w:rsidRDefault="00E72E3C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</w:t>
            </w:r>
            <w:r w:rsidR="009D7189"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ебедин</w:t>
            </w:r>
          </w:p>
          <w:p w:rsidR="000E1A30" w:rsidRDefault="009D718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Євгенія Олегівна</w:t>
            </w:r>
          </w:p>
          <w:p w:rsidR="009D7189" w:rsidRPr="000E1A30" w:rsidRDefault="009D7189" w:rsidP="000E1A30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FB7F3D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7189" w:rsidRDefault="009D7189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управління культури виконкому Криворізької міської ради </w:t>
            </w:r>
          </w:p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FB7F3D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Ромащенко</w:t>
            </w:r>
            <w:proofErr w:type="spellEnd"/>
          </w:p>
          <w:p w:rsidR="00F4013B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Микола Миколайович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Потєшний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F4013B" w:rsidRDefault="00F4013B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Стеблина                                            </w:t>
            </w:r>
          </w:p>
          <w:p w:rsidR="00294E30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 Володимирович</w:t>
            </w:r>
          </w:p>
          <w:p w:rsid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4E30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7235" w:rsidRPr="00294E30" w:rsidRDefault="00037235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 w:rsidR="00F4013B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інженер з обробки технічної документації виробничо-технічного відділу Акціонерного товариства «Криворіжгаз»</w:t>
            </w:r>
          </w:p>
          <w:p w:rsidR="00F4013B" w:rsidRDefault="00F4013B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Кривбастеплоенерго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КМР</w:t>
            </w:r>
          </w:p>
          <w:p w:rsidR="00914069" w:rsidRDefault="00914069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теплових мереж Комунального підприємства теплових мере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 «Криворіжтепломережа»</w:t>
            </w:r>
          </w:p>
        </w:tc>
      </w:tr>
      <w:tr w:rsidR="000E1A30" w:rsidRPr="009D718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Терещенко</w:t>
            </w:r>
          </w:p>
          <w:p w:rsidR="000E1A30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Вадим Валентинович</w:t>
            </w: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550F0E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50F0E" w:rsidRDefault="0091406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Шевчук</w:t>
            </w:r>
          </w:p>
          <w:p w:rsidR="00037235" w:rsidRDefault="0091406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Ярославович</w:t>
            </w:r>
          </w:p>
          <w:p w:rsidR="00914069" w:rsidRDefault="00914069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Чорний</w:t>
            </w:r>
          </w:p>
          <w:p w:rsidR="00037235" w:rsidRP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Олег Анатолійович</w:t>
            </w:r>
          </w:p>
        </w:tc>
        <w:tc>
          <w:tcPr>
            <w:tcW w:w="5782" w:type="dxa"/>
          </w:tcPr>
          <w:p w:rsidR="00550F0E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головний спеціаліст відділу з питань </w:t>
            </w:r>
            <w:proofErr w:type="spellStart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дер-жавного</w:t>
            </w:r>
            <w:proofErr w:type="spellEnd"/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архітектурно-будівельного контролю виконкому Криворізької міської ради</w:t>
            </w:r>
          </w:p>
          <w:p w:rsidR="00550F0E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37235" w:rsidRDefault="00550F0E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9140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теплової інспекції АТ «Криворізька теплоцентраль»</w:t>
            </w:r>
          </w:p>
          <w:p w:rsidR="00037235" w:rsidRDefault="00037235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Pr="009D7189" w:rsidRDefault="000E1A30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71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провідний фахівець відділу цивільного захисту з надзвичайних ситуацій</w:t>
            </w:r>
          </w:p>
        </w:tc>
      </w:tr>
      <w:tr w:rsidR="00CA2F64" w:rsidRPr="00914069" w:rsidTr="00067C99">
        <w:trPr>
          <w:trHeight w:val="40"/>
        </w:trPr>
        <w:tc>
          <w:tcPr>
            <w:tcW w:w="3991" w:type="dxa"/>
          </w:tcPr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  <w:tc>
          <w:tcPr>
            <w:tcW w:w="5782" w:type="dxa"/>
          </w:tcPr>
          <w:p w:rsidR="00CA2F64" w:rsidRPr="00CA2F64" w:rsidRDefault="00CA2F64" w:rsidP="00CA2F6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</w:tc>
      </w:tr>
      <w:tr w:rsidR="000E1A30" w:rsidRPr="00914069" w:rsidTr="00067C99">
        <w:trPr>
          <w:trHeight w:val="40"/>
        </w:trPr>
        <w:tc>
          <w:tcPr>
            <w:tcW w:w="3991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82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037235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CA2F64">
        <w:rPr>
          <w:sz w:val="26"/>
          <w:szCs w:val="26"/>
          <w:lang w:val="uk-UA"/>
        </w:rPr>
        <w:t>Івана Карого</w:t>
      </w:r>
      <w:r w:rsidR="00037235">
        <w:rPr>
          <w:sz w:val="26"/>
          <w:szCs w:val="26"/>
          <w:lang w:val="uk-UA"/>
        </w:rPr>
        <w:t xml:space="preserve">, який проінформував </w:t>
      </w:r>
      <w:proofErr w:type="spellStart"/>
      <w:r w:rsidR="00037235" w:rsidRPr="009D7189">
        <w:rPr>
          <w:sz w:val="26"/>
          <w:szCs w:val="26"/>
        </w:rPr>
        <w:t>щодо</w:t>
      </w:r>
      <w:proofErr w:type="spellEnd"/>
      <w:r w:rsidR="00037235" w:rsidRPr="009D7189">
        <w:rPr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відключення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споживачів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від</w:t>
      </w:r>
      <w:proofErr w:type="spellEnd"/>
      <w:r w:rsidR="00037235" w:rsidRPr="009D7189">
        <w:rPr>
          <w:bCs/>
          <w:iCs/>
          <w:sz w:val="26"/>
          <w:szCs w:val="26"/>
        </w:rPr>
        <w:t xml:space="preserve"> мереж </w:t>
      </w:r>
      <w:proofErr w:type="spellStart"/>
      <w:r w:rsidR="00037235" w:rsidRPr="009D7189">
        <w:rPr>
          <w:bCs/>
          <w:iCs/>
          <w:sz w:val="26"/>
          <w:szCs w:val="26"/>
        </w:rPr>
        <w:t>централізованого</w:t>
      </w:r>
      <w:proofErr w:type="spellEnd"/>
      <w:r w:rsidR="00037235" w:rsidRPr="009D7189">
        <w:rPr>
          <w:bCs/>
          <w:iCs/>
          <w:sz w:val="26"/>
          <w:szCs w:val="26"/>
        </w:rPr>
        <w:t xml:space="preserve"> </w:t>
      </w:r>
      <w:proofErr w:type="spellStart"/>
      <w:r w:rsidR="00037235" w:rsidRPr="009D7189">
        <w:rPr>
          <w:bCs/>
          <w:iCs/>
          <w:sz w:val="26"/>
          <w:szCs w:val="26"/>
        </w:rPr>
        <w:t>опалення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914069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9D7189" w:rsidRDefault="00550F0E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r w:rsidR="00037235">
        <w:rPr>
          <w:bCs/>
          <w:sz w:val="26"/>
          <w:szCs w:val="26"/>
          <w:lang w:val="uk-UA" w:eastAsia="uk-UA" w:bidi="uk-UA"/>
        </w:rPr>
        <w:t>пр. Металургів, 33 (під’їзд 1,2);</w:t>
      </w:r>
    </w:p>
    <w:p w:rsidR="00550F0E" w:rsidRDefault="00914069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r w:rsidR="00037235">
        <w:rPr>
          <w:bCs/>
          <w:sz w:val="26"/>
          <w:szCs w:val="26"/>
          <w:lang w:val="uk-UA" w:eastAsia="uk-UA" w:bidi="uk-UA"/>
        </w:rPr>
        <w:t xml:space="preserve">вул. </w:t>
      </w:r>
      <w:proofErr w:type="spellStart"/>
      <w:r w:rsidR="00037235">
        <w:rPr>
          <w:bCs/>
          <w:sz w:val="26"/>
          <w:szCs w:val="26"/>
          <w:lang w:val="uk-UA" w:eastAsia="uk-UA" w:bidi="uk-UA"/>
        </w:rPr>
        <w:t>Упіта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>, 70;</w:t>
      </w:r>
    </w:p>
    <w:p w:rsidR="00914069" w:rsidRDefault="00914069" w:rsidP="00550F0E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r w:rsidR="00037235">
        <w:rPr>
          <w:bCs/>
          <w:sz w:val="26"/>
          <w:szCs w:val="26"/>
          <w:lang w:val="uk-UA" w:eastAsia="uk-UA" w:bidi="uk-UA"/>
        </w:rPr>
        <w:t>в</w:t>
      </w:r>
      <w:r w:rsidR="001654BB">
        <w:rPr>
          <w:bCs/>
          <w:sz w:val="26"/>
          <w:szCs w:val="26"/>
          <w:lang w:val="uk-UA" w:eastAsia="uk-UA" w:bidi="uk-UA"/>
        </w:rPr>
        <w:t xml:space="preserve">ул. </w:t>
      </w:r>
      <w:proofErr w:type="spellStart"/>
      <w:r w:rsidR="001654BB">
        <w:rPr>
          <w:bCs/>
          <w:sz w:val="26"/>
          <w:szCs w:val="26"/>
          <w:lang w:val="uk-UA" w:eastAsia="uk-UA" w:bidi="uk-UA"/>
        </w:rPr>
        <w:t>І</w:t>
      </w:r>
      <w:r w:rsidR="00037235">
        <w:rPr>
          <w:bCs/>
          <w:sz w:val="26"/>
          <w:szCs w:val="26"/>
          <w:lang w:val="uk-UA" w:eastAsia="uk-UA" w:bidi="uk-UA"/>
        </w:rPr>
        <w:t>орданська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>, 11;</w:t>
      </w:r>
    </w:p>
    <w:p w:rsidR="00550F0E" w:rsidRDefault="00914069" w:rsidP="0091406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r w:rsidR="00037235">
        <w:rPr>
          <w:bCs/>
          <w:sz w:val="26"/>
          <w:szCs w:val="26"/>
          <w:lang w:val="uk-UA" w:eastAsia="uk-UA" w:bidi="uk-UA"/>
        </w:rPr>
        <w:t xml:space="preserve">вул. </w:t>
      </w:r>
      <w:proofErr w:type="spellStart"/>
      <w:r w:rsidR="00037235">
        <w:rPr>
          <w:bCs/>
          <w:sz w:val="26"/>
          <w:szCs w:val="26"/>
          <w:lang w:val="uk-UA" w:eastAsia="uk-UA" w:bidi="uk-UA"/>
        </w:rPr>
        <w:t>Святогеоргіївська</w:t>
      </w:r>
      <w:proofErr w:type="spellEnd"/>
      <w:r w:rsidR="00037235">
        <w:rPr>
          <w:bCs/>
          <w:sz w:val="26"/>
          <w:szCs w:val="26"/>
          <w:lang w:val="uk-UA" w:eastAsia="uk-UA" w:bidi="uk-UA"/>
        </w:rPr>
        <w:t>, 17/8;</w:t>
      </w:r>
    </w:p>
    <w:p w:rsidR="00037235" w:rsidRDefault="00037235" w:rsidP="0091406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Шостаковича</w:t>
      </w:r>
      <w:proofErr w:type="spellEnd"/>
      <w:r>
        <w:rPr>
          <w:bCs/>
          <w:sz w:val="26"/>
          <w:szCs w:val="26"/>
          <w:lang w:val="uk-UA" w:eastAsia="uk-UA" w:bidi="uk-UA"/>
        </w:rPr>
        <w:t>, 43/2;</w:t>
      </w:r>
    </w:p>
    <w:p w:rsidR="00037235" w:rsidRDefault="00037235" w:rsidP="0091406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Шостаковича</w:t>
      </w:r>
      <w:proofErr w:type="spellEnd"/>
      <w:r>
        <w:rPr>
          <w:bCs/>
          <w:sz w:val="26"/>
          <w:szCs w:val="26"/>
          <w:lang w:val="uk-UA" w:eastAsia="uk-UA" w:bidi="uk-UA"/>
        </w:rPr>
        <w:t>, 47/2;</w:t>
      </w:r>
    </w:p>
    <w:p w:rsidR="00227E72" w:rsidRDefault="00227E72" w:rsidP="0091406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Урюпінська</w:t>
      </w:r>
      <w:proofErr w:type="spellEnd"/>
      <w:r>
        <w:rPr>
          <w:bCs/>
          <w:sz w:val="26"/>
          <w:szCs w:val="26"/>
          <w:lang w:val="uk-UA" w:eastAsia="uk-UA" w:bidi="uk-UA"/>
        </w:rPr>
        <w:t>, 6/2;</w:t>
      </w:r>
    </w:p>
    <w:p w:rsidR="00227E72" w:rsidRDefault="00227E72" w:rsidP="0091406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пр. Поштовий, 43/3.</w:t>
      </w:r>
    </w:p>
    <w:p w:rsidR="005370E7" w:rsidRDefault="005370E7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Default="00AB0F59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B0F59" w:rsidRPr="00D06907" w:rsidRDefault="00914069" w:rsidP="00AB0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 xml:space="preserve">озвіл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відключення </w:t>
      </w:r>
      <w:r w:rsidR="00227E72">
        <w:rPr>
          <w:rFonts w:ascii="Times New Roman" w:hAnsi="Times New Roman" w:cs="Times New Roman"/>
          <w:sz w:val="26"/>
          <w:szCs w:val="26"/>
          <w:lang w:val="uk-UA"/>
        </w:rPr>
        <w:t>житлового будинку №70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Упіта</w:t>
      </w:r>
      <w:proofErr w:type="spellEnd"/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D453B">
        <w:rPr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DD453B">
        <w:rPr>
          <w:color w:val="2A2928"/>
          <w:sz w:val="26"/>
          <w:szCs w:val="26"/>
          <w:lang w:val="uk-UA"/>
        </w:rPr>
        <w:t>проєкту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>, який має відповідати вимогам чинних державних будівельних норм та правил</w:t>
      </w:r>
      <w:r>
        <w:rPr>
          <w:color w:val="2A2928"/>
          <w:sz w:val="26"/>
          <w:szCs w:val="26"/>
          <w:lang w:val="uk-UA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Обрана</w:t>
      </w:r>
      <w:proofErr w:type="spellEnd"/>
      <w:r w:rsidRPr="00DD453B">
        <w:rPr>
          <w:color w:val="2A2928"/>
          <w:sz w:val="26"/>
          <w:szCs w:val="26"/>
        </w:rPr>
        <w:t xml:space="preserve"> система </w:t>
      </w:r>
      <w:proofErr w:type="spellStart"/>
      <w:r w:rsidRPr="00DD453B">
        <w:rPr>
          <w:color w:val="2A2928"/>
          <w:sz w:val="26"/>
          <w:szCs w:val="26"/>
        </w:rPr>
        <w:t>має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забезпечити</w:t>
      </w:r>
      <w:proofErr w:type="spellEnd"/>
      <w:r w:rsidRPr="00DD453B">
        <w:rPr>
          <w:color w:val="2A2928"/>
          <w:sz w:val="26"/>
          <w:szCs w:val="26"/>
        </w:rPr>
        <w:t>: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опалення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місць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загального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користування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допоміжних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приміщень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будинку</w:t>
      </w:r>
      <w:proofErr w:type="spellEnd"/>
      <w:r w:rsidRPr="00DD453B">
        <w:rPr>
          <w:color w:val="2A2928"/>
          <w:sz w:val="26"/>
          <w:szCs w:val="26"/>
        </w:rPr>
        <w:t>;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ізоляцію</w:t>
      </w:r>
      <w:proofErr w:type="spell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перенесення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транзитних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стояків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gramStart"/>
      <w:r w:rsidRPr="00DD453B">
        <w:rPr>
          <w:color w:val="2A2928"/>
          <w:sz w:val="26"/>
          <w:szCs w:val="26"/>
        </w:rPr>
        <w:t>у</w:t>
      </w:r>
      <w:proofErr w:type="gram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</w:t>
      </w:r>
      <w:proofErr w:type="spellStart"/>
      <w:r w:rsidRPr="00DD453B">
        <w:rPr>
          <w:color w:val="2A2928"/>
          <w:sz w:val="26"/>
          <w:szCs w:val="26"/>
        </w:rPr>
        <w:t>тощо</w:t>
      </w:r>
      <w:proofErr w:type="spellEnd"/>
      <w:r w:rsidRPr="00DD453B">
        <w:rPr>
          <w:color w:val="2A2928"/>
          <w:sz w:val="26"/>
          <w:szCs w:val="26"/>
        </w:rPr>
        <w:t>;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заміну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внутрішньобудинкових систем газ</w:t>
      </w:r>
      <w:proofErr w:type="gramStart"/>
      <w:r w:rsidRPr="00DD453B">
        <w:rPr>
          <w:color w:val="2A2928"/>
          <w:sz w:val="26"/>
          <w:szCs w:val="26"/>
        </w:rPr>
        <w:t>о-</w:t>
      </w:r>
      <w:proofErr w:type="gram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електропостачання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залежно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типу </w:t>
      </w:r>
      <w:proofErr w:type="spellStart"/>
      <w:r w:rsidRPr="00DD453B">
        <w:rPr>
          <w:color w:val="2A2928"/>
          <w:sz w:val="26"/>
          <w:szCs w:val="26"/>
        </w:rPr>
        <w:t>нагрівачів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 xml:space="preserve">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</w:t>
      </w:r>
      <w:r w:rsidRPr="00DD453B">
        <w:rPr>
          <w:color w:val="2A2928"/>
          <w:sz w:val="26"/>
          <w:szCs w:val="26"/>
          <w:lang w:val="uk-UA"/>
        </w:rPr>
        <w:lastRenderedPageBreak/>
        <w:t>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 xml:space="preserve"> здійснюється лише в </w:t>
      </w:r>
      <w:proofErr w:type="spellStart"/>
      <w:r w:rsidRPr="00DD453B">
        <w:rPr>
          <w:color w:val="2A2928"/>
          <w:sz w:val="26"/>
          <w:szCs w:val="26"/>
          <w:lang w:val="uk-UA"/>
        </w:rPr>
        <w:t>міжопалювальний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Витрати</w:t>
      </w:r>
      <w:proofErr w:type="spellEnd"/>
      <w:r w:rsidRPr="00DD453B">
        <w:rPr>
          <w:color w:val="2A2928"/>
          <w:sz w:val="26"/>
          <w:szCs w:val="26"/>
        </w:rPr>
        <w:t xml:space="preserve">, </w:t>
      </w:r>
      <w:proofErr w:type="spellStart"/>
      <w:proofErr w:type="gramStart"/>
      <w:r w:rsidRPr="00DD453B">
        <w:rPr>
          <w:color w:val="2A2928"/>
          <w:sz w:val="26"/>
          <w:szCs w:val="26"/>
        </w:rPr>
        <w:t>пов'язан</w:t>
      </w:r>
      <w:proofErr w:type="gramEnd"/>
      <w:r w:rsidRPr="00DD453B">
        <w:rPr>
          <w:color w:val="2A2928"/>
          <w:sz w:val="26"/>
          <w:szCs w:val="26"/>
        </w:rPr>
        <w:t>і</w:t>
      </w:r>
      <w:proofErr w:type="spellEnd"/>
      <w:r w:rsidRPr="00DD453B">
        <w:rPr>
          <w:color w:val="2A2928"/>
          <w:sz w:val="26"/>
          <w:szCs w:val="26"/>
        </w:rPr>
        <w:t xml:space="preserve"> з </w:t>
      </w:r>
      <w:proofErr w:type="spellStart"/>
      <w:r w:rsidRPr="00DD453B">
        <w:rPr>
          <w:color w:val="2A2928"/>
          <w:sz w:val="26"/>
          <w:szCs w:val="26"/>
        </w:rPr>
        <w:t>відключенням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</w:rPr>
        <w:t xml:space="preserve">, </w:t>
      </w:r>
      <w:proofErr w:type="spellStart"/>
      <w:r w:rsidRPr="00DD453B">
        <w:rPr>
          <w:color w:val="2A2928"/>
          <w:sz w:val="26"/>
          <w:szCs w:val="26"/>
        </w:rPr>
        <w:t>здійснюються</w:t>
      </w:r>
      <w:proofErr w:type="spellEnd"/>
      <w:r w:rsidRPr="00DD453B">
        <w:rPr>
          <w:color w:val="2A2928"/>
          <w:sz w:val="26"/>
          <w:szCs w:val="26"/>
        </w:rPr>
        <w:t xml:space="preserve"> за </w:t>
      </w:r>
      <w:proofErr w:type="spellStart"/>
      <w:r w:rsidRPr="00DD453B">
        <w:rPr>
          <w:color w:val="2A2928"/>
          <w:sz w:val="26"/>
          <w:szCs w:val="26"/>
        </w:rPr>
        <w:t>рахунок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власника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) та </w:t>
      </w:r>
      <w:proofErr w:type="spellStart"/>
      <w:r w:rsidRPr="00DD453B">
        <w:rPr>
          <w:color w:val="2A2928"/>
          <w:sz w:val="26"/>
          <w:szCs w:val="26"/>
        </w:rPr>
        <w:t>інших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коштів</w:t>
      </w:r>
      <w:proofErr w:type="spellEnd"/>
      <w:r w:rsidRPr="00DD453B">
        <w:rPr>
          <w:color w:val="2A2928"/>
          <w:sz w:val="26"/>
          <w:szCs w:val="26"/>
        </w:rPr>
        <w:t xml:space="preserve">, не </w:t>
      </w:r>
      <w:proofErr w:type="spellStart"/>
      <w:r w:rsidRPr="00DD453B">
        <w:rPr>
          <w:color w:val="2A2928"/>
          <w:sz w:val="26"/>
          <w:szCs w:val="26"/>
        </w:rPr>
        <w:t>заборонених</w:t>
      </w:r>
      <w:proofErr w:type="spellEnd"/>
      <w:r w:rsidRPr="00DD453B">
        <w:rPr>
          <w:color w:val="2A2928"/>
          <w:sz w:val="26"/>
          <w:szCs w:val="26"/>
        </w:rPr>
        <w:t xml:space="preserve"> законом.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Узгодження дати і часу виконання робіт із відключення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>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У разі виконання робіт із відключення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 xml:space="preserve">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DD453B">
        <w:rPr>
          <w:color w:val="2A2928"/>
          <w:sz w:val="26"/>
          <w:szCs w:val="26"/>
        </w:rPr>
        <w:t>Неприбуття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представників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proofErr w:type="gramStart"/>
      <w:r w:rsidRPr="00DD453B">
        <w:rPr>
          <w:color w:val="2A2928"/>
          <w:sz w:val="26"/>
          <w:szCs w:val="26"/>
        </w:rPr>
        <w:t>в</w:t>
      </w:r>
      <w:proofErr w:type="gramEnd"/>
      <w:r w:rsidRPr="00DD453B">
        <w:rPr>
          <w:color w:val="2A2928"/>
          <w:sz w:val="26"/>
          <w:szCs w:val="26"/>
        </w:rPr>
        <w:t>ідповідних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комунальних</w:t>
      </w:r>
      <w:proofErr w:type="spellEnd"/>
      <w:r w:rsidRPr="00DD453B">
        <w:rPr>
          <w:color w:val="2A2928"/>
          <w:sz w:val="26"/>
          <w:szCs w:val="26"/>
        </w:rPr>
        <w:t xml:space="preserve"> послуг за </w:t>
      </w:r>
      <w:proofErr w:type="spellStart"/>
      <w:r w:rsidRPr="00DD453B">
        <w:rPr>
          <w:color w:val="2A2928"/>
          <w:sz w:val="26"/>
          <w:szCs w:val="26"/>
        </w:rPr>
        <w:t>умови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повідомлення</w:t>
      </w:r>
      <w:proofErr w:type="spellEnd"/>
      <w:r w:rsidRPr="00DD453B">
        <w:rPr>
          <w:color w:val="2A2928"/>
          <w:sz w:val="26"/>
          <w:szCs w:val="26"/>
        </w:rPr>
        <w:t xml:space="preserve"> не </w:t>
      </w:r>
      <w:proofErr w:type="spellStart"/>
      <w:r w:rsidRPr="00DD453B">
        <w:rPr>
          <w:color w:val="2A2928"/>
          <w:sz w:val="26"/>
          <w:szCs w:val="26"/>
        </w:rPr>
        <w:t>може</w:t>
      </w:r>
      <w:proofErr w:type="spellEnd"/>
      <w:r w:rsidRPr="00DD453B">
        <w:rPr>
          <w:color w:val="2A2928"/>
          <w:sz w:val="26"/>
          <w:szCs w:val="26"/>
        </w:rPr>
        <w:t xml:space="preserve"> бути </w:t>
      </w:r>
      <w:proofErr w:type="spellStart"/>
      <w:r w:rsidRPr="00DD453B">
        <w:rPr>
          <w:color w:val="2A2928"/>
          <w:sz w:val="26"/>
          <w:szCs w:val="26"/>
        </w:rPr>
        <w:t>підставою</w:t>
      </w:r>
      <w:proofErr w:type="spellEnd"/>
      <w:r w:rsidRPr="00DD453B">
        <w:rPr>
          <w:color w:val="2A2928"/>
          <w:sz w:val="26"/>
          <w:szCs w:val="26"/>
        </w:rPr>
        <w:t xml:space="preserve"> для </w:t>
      </w:r>
      <w:proofErr w:type="spellStart"/>
      <w:r w:rsidRPr="00DD453B">
        <w:rPr>
          <w:color w:val="2A2928"/>
          <w:sz w:val="26"/>
          <w:szCs w:val="26"/>
        </w:rPr>
        <w:t>відмови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виконанні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робіт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із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Після виконання робіт із 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>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</w:t>
      </w:r>
      <w:r w:rsidR="00A6276C">
        <w:rPr>
          <w:color w:val="2A2928"/>
          <w:sz w:val="26"/>
          <w:szCs w:val="26"/>
          <w:lang w:val="uk-UA"/>
        </w:rPr>
        <w:t xml:space="preserve">ання гарячої води </w:t>
      </w:r>
      <w:r w:rsidRPr="00DD453B">
        <w:rPr>
          <w:color w:val="2A2928"/>
          <w:sz w:val="26"/>
          <w:szCs w:val="26"/>
          <w:lang w:val="uk-UA"/>
        </w:rPr>
        <w:t>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</w:t>
      </w:r>
      <w:r w:rsidR="00A6276C">
        <w:rPr>
          <w:color w:val="2A2928"/>
          <w:sz w:val="26"/>
          <w:szCs w:val="26"/>
          <w:lang w:val="uk-UA"/>
        </w:rPr>
        <w:t>шого суб'єкта господарювання</w:t>
      </w:r>
      <w:r w:rsidRPr="00DD453B">
        <w:rPr>
          <w:color w:val="2A2928"/>
          <w:sz w:val="26"/>
          <w:szCs w:val="26"/>
          <w:lang w:val="uk-UA"/>
        </w:rPr>
        <w:t xml:space="preserve">. </w:t>
      </w:r>
      <w:proofErr w:type="spellStart"/>
      <w:r w:rsidRPr="00DD453B">
        <w:rPr>
          <w:color w:val="2A2928"/>
          <w:sz w:val="26"/>
          <w:szCs w:val="26"/>
        </w:rPr>
        <w:t>Такий</w:t>
      </w:r>
      <w:proofErr w:type="spellEnd"/>
      <w:r w:rsidRPr="00DD453B">
        <w:rPr>
          <w:color w:val="2A2928"/>
          <w:sz w:val="26"/>
          <w:szCs w:val="26"/>
        </w:rPr>
        <w:t xml:space="preserve"> акт </w:t>
      </w:r>
      <w:proofErr w:type="spellStart"/>
      <w:proofErr w:type="gramStart"/>
      <w:r w:rsidRPr="00DD453B">
        <w:rPr>
          <w:color w:val="2A2928"/>
          <w:sz w:val="26"/>
          <w:szCs w:val="26"/>
        </w:rPr>
        <w:t>п</w:t>
      </w:r>
      <w:proofErr w:type="gramEnd"/>
      <w:r w:rsidRPr="00DD453B">
        <w:rPr>
          <w:color w:val="2A2928"/>
          <w:sz w:val="26"/>
          <w:szCs w:val="26"/>
        </w:rPr>
        <w:t>ідписується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усіма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присутніми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під</w:t>
      </w:r>
      <w:proofErr w:type="spellEnd"/>
      <w:r w:rsidRPr="00DD453B">
        <w:rPr>
          <w:color w:val="2A2928"/>
          <w:sz w:val="26"/>
          <w:szCs w:val="26"/>
        </w:rPr>
        <w:t xml:space="preserve"> час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сторонами: </w:t>
      </w:r>
      <w:proofErr w:type="spellStart"/>
      <w:r w:rsidRPr="00DD453B">
        <w:rPr>
          <w:color w:val="2A2928"/>
          <w:sz w:val="26"/>
          <w:szCs w:val="26"/>
        </w:rPr>
        <w:t>власником</w:t>
      </w:r>
      <w:proofErr w:type="spellEnd"/>
      <w:r w:rsidRPr="00DD453B">
        <w:rPr>
          <w:color w:val="2A2928"/>
          <w:sz w:val="26"/>
          <w:szCs w:val="26"/>
        </w:rPr>
        <w:t xml:space="preserve"> / </w:t>
      </w:r>
      <w:proofErr w:type="spellStart"/>
      <w:r w:rsidRPr="00DD453B">
        <w:rPr>
          <w:color w:val="2A2928"/>
          <w:sz w:val="26"/>
          <w:szCs w:val="26"/>
        </w:rPr>
        <w:t>представником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кожним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виконавцем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відповідної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комунальної</w:t>
      </w:r>
      <w:proofErr w:type="spellEnd"/>
      <w:r w:rsidRPr="00DD453B">
        <w:rPr>
          <w:color w:val="2A2928"/>
          <w:sz w:val="26"/>
          <w:szCs w:val="26"/>
        </w:rPr>
        <w:t xml:space="preserve"> послуги, а </w:t>
      </w:r>
      <w:proofErr w:type="spellStart"/>
      <w:r w:rsidRPr="00DD453B">
        <w:rPr>
          <w:color w:val="2A2928"/>
          <w:sz w:val="26"/>
          <w:szCs w:val="26"/>
        </w:rPr>
        <w:t>також</w:t>
      </w:r>
      <w:proofErr w:type="spellEnd"/>
      <w:r w:rsidRPr="00DD453B">
        <w:rPr>
          <w:color w:val="2A2928"/>
          <w:sz w:val="26"/>
          <w:szCs w:val="26"/>
        </w:rPr>
        <w:t xml:space="preserve"> оператором </w:t>
      </w:r>
      <w:proofErr w:type="spellStart"/>
      <w:r w:rsidRPr="00DD453B">
        <w:rPr>
          <w:color w:val="2A2928"/>
          <w:sz w:val="26"/>
          <w:szCs w:val="26"/>
        </w:rPr>
        <w:t>зовнішніх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інженерних</w:t>
      </w:r>
      <w:proofErr w:type="spellEnd"/>
      <w:r w:rsidRPr="00DD453B">
        <w:rPr>
          <w:color w:val="2A2928"/>
          <w:sz w:val="26"/>
          <w:szCs w:val="26"/>
        </w:rPr>
        <w:t xml:space="preserve"> мереж 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іншим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суб'єктом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господарювання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залучення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DD453B" w:rsidRDefault="00DD453B" w:rsidP="00DD453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87D93" w:rsidRPr="00DD453B" w:rsidRDefault="00914069" w:rsidP="00DD4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</w:t>
      </w:r>
      <w:r w:rsidR="00587D93"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відключення </w:t>
      </w:r>
      <w:r w:rsidR="00227E7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житлового будинку №11 на вул. </w:t>
      </w:r>
      <w:proofErr w:type="spellStart"/>
      <w:r w:rsidR="006F7BC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І</w:t>
      </w:r>
      <w:r w:rsidR="00227E7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орданська</w:t>
      </w:r>
      <w:proofErr w:type="spellEnd"/>
      <w:r w:rsidR="00227E7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, 11 </w:t>
      </w:r>
      <w:r w:rsidR="00587D93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від систем централізованого опалення </w:t>
      </w:r>
      <w:r w:rsidR="00227E7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</w:t>
      </w:r>
      <w:proofErr w:type="spellStart"/>
      <w:r w:rsidRPr="00DD453B">
        <w:rPr>
          <w:color w:val="2A2928"/>
          <w:sz w:val="26"/>
          <w:szCs w:val="26"/>
          <w:lang w:val="uk-UA"/>
        </w:rPr>
        <w:t>проєкту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>, який має відповідати вимогам чинних державних будівельних норм та правил</w:t>
      </w:r>
      <w:r>
        <w:rPr>
          <w:color w:val="2A2928"/>
          <w:sz w:val="26"/>
          <w:szCs w:val="26"/>
          <w:lang w:val="uk-UA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Обрана</w:t>
      </w:r>
      <w:proofErr w:type="spellEnd"/>
      <w:r w:rsidRPr="00DD453B">
        <w:rPr>
          <w:color w:val="2A2928"/>
          <w:sz w:val="26"/>
          <w:szCs w:val="26"/>
        </w:rPr>
        <w:t xml:space="preserve"> система </w:t>
      </w:r>
      <w:proofErr w:type="spellStart"/>
      <w:r w:rsidRPr="00DD453B">
        <w:rPr>
          <w:color w:val="2A2928"/>
          <w:sz w:val="26"/>
          <w:szCs w:val="26"/>
        </w:rPr>
        <w:t>має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забезпечити</w:t>
      </w:r>
      <w:proofErr w:type="spellEnd"/>
      <w:r w:rsidRPr="00DD453B">
        <w:rPr>
          <w:color w:val="2A2928"/>
          <w:sz w:val="26"/>
          <w:szCs w:val="26"/>
        </w:rPr>
        <w:t>: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опалення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місць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загального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користування</w:t>
      </w:r>
      <w:proofErr w:type="spellEnd"/>
      <w:r w:rsidRPr="00DD453B">
        <w:rPr>
          <w:color w:val="2A2928"/>
          <w:sz w:val="26"/>
          <w:szCs w:val="26"/>
        </w:rPr>
        <w:t xml:space="preserve"> та </w:t>
      </w:r>
      <w:proofErr w:type="spellStart"/>
      <w:r w:rsidRPr="00DD453B">
        <w:rPr>
          <w:color w:val="2A2928"/>
          <w:sz w:val="26"/>
          <w:szCs w:val="26"/>
        </w:rPr>
        <w:t>допоміжних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приміщень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будинку;ізоляцію</w:t>
      </w:r>
      <w:proofErr w:type="spell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перенесення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транзитних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стояків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</w:t>
      </w:r>
      <w:proofErr w:type="spellStart"/>
      <w:r w:rsidRPr="00DD453B">
        <w:rPr>
          <w:color w:val="2A2928"/>
          <w:sz w:val="26"/>
          <w:szCs w:val="26"/>
        </w:rPr>
        <w:t>тощо</w:t>
      </w:r>
      <w:proofErr w:type="spellEnd"/>
      <w:r w:rsidRPr="00DD453B">
        <w:rPr>
          <w:color w:val="2A2928"/>
          <w:sz w:val="26"/>
          <w:szCs w:val="26"/>
        </w:rPr>
        <w:t>;</w:t>
      </w:r>
      <w:r w:rsidR="00B07D91">
        <w:rPr>
          <w:color w:val="2A2928"/>
          <w:sz w:val="26"/>
          <w:szCs w:val="26"/>
          <w:lang w:val="uk-UA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заміну</w:t>
      </w:r>
      <w:proofErr w:type="spellEnd"/>
      <w:r w:rsidRPr="00DD453B">
        <w:rPr>
          <w:color w:val="2A2928"/>
          <w:sz w:val="26"/>
          <w:szCs w:val="26"/>
        </w:rPr>
        <w:t xml:space="preserve"> (у </w:t>
      </w:r>
      <w:proofErr w:type="spellStart"/>
      <w:r w:rsidRPr="00DD453B">
        <w:rPr>
          <w:color w:val="2A2928"/>
          <w:sz w:val="26"/>
          <w:szCs w:val="26"/>
        </w:rPr>
        <w:t>разі</w:t>
      </w:r>
      <w:proofErr w:type="spellEnd"/>
      <w:r w:rsidRPr="00DD453B">
        <w:rPr>
          <w:color w:val="2A2928"/>
          <w:sz w:val="26"/>
          <w:szCs w:val="26"/>
        </w:rPr>
        <w:t xml:space="preserve"> потреби) внутрішньобудинкових систем газ</w:t>
      </w:r>
      <w:proofErr w:type="gramStart"/>
      <w:r w:rsidRPr="00DD453B">
        <w:rPr>
          <w:color w:val="2A2928"/>
          <w:sz w:val="26"/>
          <w:szCs w:val="26"/>
        </w:rPr>
        <w:t>о-</w:t>
      </w:r>
      <w:proofErr w:type="gramEnd"/>
      <w:r w:rsidRPr="00DD453B">
        <w:rPr>
          <w:color w:val="2A2928"/>
          <w:sz w:val="26"/>
          <w:szCs w:val="26"/>
        </w:rPr>
        <w:t xml:space="preserve"> та/</w:t>
      </w:r>
      <w:proofErr w:type="spellStart"/>
      <w:r w:rsidRPr="00DD453B">
        <w:rPr>
          <w:color w:val="2A2928"/>
          <w:sz w:val="26"/>
          <w:szCs w:val="26"/>
        </w:rPr>
        <w:t>або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електропостачання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залежно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типу </w:t>
      </w:r>
      <w:proofErr w:type="spellStart"/>
      <w:r w:rsidRPr="00DD453B">
        <w:rPr>
          <w:color w:val="2A2928"/>
          <w:sz w:val="26"/>
          <w:szCs w:val="26"/>
        </w:rPr>
        <w:t>нагрівачів</w:t>
      </w:r>
      <w:proofErr w:type="spellEnd"/>
      <w:r w:rsidRPr="00DD453B">
        <w:rPr>
          <w:color w:val="2A2928"/>
          <w:sz w:val="26"/>
          <w:szCs w:val="26"/>
        </w:rPr>
        <w:t>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 xml:space="preserve">здійснюється виконавцем відповідної комунальної послуги, або оператором зовнішніх інженерних мереж, якщо </w:t>
      </w:r>
      <w:r w:rsidRPr="00DD453B">
        <w:rPr>
          <w:color w:val="2A2928"/>
          <w:sz w:val="26"/>
          <w:szCs w:val="26"/>
          <w:lang w:val="uk-UA"/>
        </w:rPr>
        <w:lastRenderedPageBreak/>
        <w:t>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 xml:space="preserve">здійснюється лише в </w:t>
      </w:r>
      <w:proofErr w:type="spellStart"/>
      <w:r w:rsidRPr="00DD453B">
        <w:rPr>
          <w:color w:val="2A2928"/>
          <w:sz w:val="26"/>
          <w:szCs w:val="26"/>
          <w:lang w:val="uk-UA"/>
        </w:rPr>
        <w:t>міжопалювальний</w:t>
      </w:r>
      <w:proofErr w:type="spellEnd"/>
      <w:r w:rsidRPr="00DD453B">
        <w:rPr>
          <w:color w:val="2A2928"/>
          <w:sz w:val="26"/>
          <w:szCs w:val="26"/>
          <w:lang w:val="uk-UA"/>
        </w:rPr>
        <w:t xml:space="preserve"> період, але не пізніше ніж 01 вересня.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proofErr w:type="spellStart"/>
      <w:r w:rsidRPr="00DD453B">
        <w:rPr>
          <w:color w:val="2A2928"/>
          <w:sz w:val="26"/>
          <w:szCs w:val="26"/>
        </w:rPr>
        <w:t>Витрати</w:t>
      </w:r>
      <w:proofErr w:type="spellEnd"/>
      <w:r w:rsidRPr="00DD453B">
        <w:rPr>
          <w:color w:val="2A2928"/>
          <w:sz w:val="26"/>
          <w:szCs w:val="26"/>
        </w:rPr>
        <w:t xml:space="preserve">, </w:t>
      </w:r>
      <w:proofErr w:type="spellStart"/>
      <w:proofErr w:type="gramStart"/>
      <w:r w:rsidRPr="00DD453B">
        <w:rPr>
          <w:color w:val="2A2928"/>
          <w:sz w:val="26"/>
          <w:szCs w:val="26"/>
        </w:rPr>
        <w:t>пов'язан</w:t>
      </w:r>
      <w:proofErr w:type="gramEnd"/>
      <w:r w:rsidRPr="00DD453B">
        <w:rPr>
          <w:color w:val="2A2928"/>
          <w:sz w:val="26"/>
          <w:szCs w:val="26"/>
        </w:rPr>
        <w:t>і</w:t>
      </w:r>
      <w:proofErr w:type="spellEnd"/>
      <w:r w:rsidRPr="00DD453B">
        <w:rPr>
          <w:color w:val="2A2928"/>
          <w:sz w:val="26"/>
          <w:szCs w:val="26"/>
        </w:rPr>
        <w:t xml:space="preserve"> з </w:t>
      </w:r>
      <w:proofErr w:type="spellStart"/>
      <w:r w:rsidRPr="00DD453B">
        <w:rPr>
          <w:color w:val="2A2928"/>
          <w:sz w:val="26"/>
          <w:szCs w:val="26"/>
        </w:rPr>
        <w:t>відключенням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</w:rPr>
        <w:t xml:space="preserve">, </w:t>
      </w:r>
      <w:proofErr w:type="spellStart"/>
      <w:r w:rsidRPr="00DD453B">
        <w:rPr>
          <w:color w:val="2A2928"/>
          <w:sz w:val="26"/>
          <w:szCs w:val="26"/>
        </w:rPr>
        <w:t>здійснюються</w:t>
      </w:r>
      <w:proofErr w:type="spellEnd"/>
      <w:r w:rsidRPr="00DD453B">
        <w:rPr>
          <w:color w:val="2A2928"/>
          <w:sz w:val="26"/>
          <w:szCs w:val="26"/>
        </w:rPr>
        <w:t xml:space="preserve"> за </w:t>
      </w:r>
      <w:proofErr w:type="spellStart"/>
      <w:r w:rsidRPr="00DD453B">
        <w:rPr>
          <w:color w:val="2A2928"/>
          <w:sz w:val="26"/>
          <w:szCs w:val="26"/>
        </w:rPr>
        <w:t>рахунок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власника</w:t>
      </w:r>
      <w:proofErr w:type="spellEnd"/>
      <w:r w:rsidRPr="00DD453B">
        <w:rPr>
          <w:color w:val="2A2928"/>
          <w:sz w:val="26"/>
          <w:szCs w:val="26"/>
        </w:rPr>
        <w:t xml:space="preserve"> (</w:t>
      </w:r>
      <w:proofErr w:type="spellStart"/>
      <w:r w:rsidRPr="00DD453B">
        <w:rPr>
          <w:color w:val="2A2928"/>
          <w:sz w:val="26"/>
          <w:szCs w:val="26"/>
        </w:rPr>
        <w:t>співвласників</w:t>
      </w:r>
      <w:proofErr w:type="spellEnd"/>
      <w:r w:rsidRPr="00DD453B">
        <w:rPr>
          <w:color w:val="2A2928"/>
          <w:sz w:val="26"/>
          <w:szCs w:val="26"/>
        </w:rPr>
        <w:t xml:space="preserve">) та </w:t>
      </w:r>
      <w:proofErr w:type="spellStart"/>
      <w:r w:rsidRPr="00DD453B">
        <w:rPr>
          <w:color w:val="2A2928"/>
          <w:sz w:val="26"/>
          <w:szCs w:val="26"/>
        </w:rPr>
        <w:t>інших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коштів</w:t>
      </w:r>
      <w:proofErr w:type="spellEnd"/>
      <w:r w:rsidRPr="00DD453B">
        <w:rPr>
          <w:color w:val="2A2928"/>
          <w:sz w:val="26"/>
          <w:szCs w:val="26"/>
        </w:rPr>
        <w:t xml:space="preserve">, не </w:t>
      </w:r>
      <w:proofErr w:type="spellStart"/>
      <w:r w:rsidRPr="00DD453B">
        <w:rPr>
          <w:color w:val="2A2928"/>
          <w:sz w:val="26"/>
          <w:szCs w:val="26"/>
        </w:rPr>
        <w:t>заборонених</w:t>
      </w:r>
      <w:proofErr w:type="spellEnd"/>
      <w:r w:rsidRPr="00DD453B">
        <w:rPr>
          <w:color w:val="2A2928"/>
          <w:sz w:val="26"/>
          <w:szCs w:val="26"/>
        </w:rPr>
        <w:t xml:space="preserve"> законом.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Узгодження дати і часу виконання робіт із відключення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>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У разі виконання робіт із відключення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 xml:space="preserve">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proofErr w:type="spellStart"/>
      <w:r w:rsidRPr="00DD453B">
        <w:rPr>
          <w:color w:val="2A2928"/>
          <w:sz w:val="26"/>
          <w:szCs w:val="26"/>
        </w:rPr>
        <w:t>Неприбуття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представників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виконавців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proofErr w:type="gramStart"/>
      <w:r w:rsidRPr="00DD453B">
        <w:rPr>
          <w:color w:val="2A2928"/>
          <w:sz w:val="26"/>
          <w:szCs w:val="26"/>
        </w:rPr>
        <w:t>в</w:t>
      </w:r>
      <w:proofErr w:type="gramEnd"/>
      <w:r w:rsidRPr="00DD453B">
        <w:rPr>
          <w:color w:val="2A2928"/>
          <w:sz w:val="26"/>
          <w:szCs w:val="26"/>
        </w:rPr>
        <w:t>ідповідних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комунальних</w:t>
      </w:r>
      <w:proofErr w:type="spellEnd"/>
      <w:r w:rsidRPr="00DD453B">
        <w:rPr>
          <w:color w:val="2A2928"/>
          <w:sz w:val="26"/>
          <w:szCs w:val="26"/>
        </w:rPr>
        <w:t xml:space="preserve"> послуг за </w:t>
      </w:r>
      <w:proofErr w:type="spellStart"/>
      <w:r w:rsidRPr="00DD453B">
        <w:rPr>
          <w:color w:val="2A2928"/>
          <w:sz w:val="26"/>
          <w:szCs w:val="26"/>
        </w:rPr>
        <w:t>умови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їх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повідомлення</w:t>
      </w:r>
      <w:proofErr w:type="spellEnd"/>
      <w:r w:rsidRPr="00DD453B">
        <w:rPr>
          <w:color w:val="2A2928"/>
          <w:sz w:val="26"/>
          <w:szCs w:val="26"/>
        </w:rPr>
        <w:t xml:space="preserve"> не </w:t>
      </w:r>
      <w:proofErr w:type="spellStart"/>
      <w:r w:rsidRPr="00DD453B">
        <w:rPr>
          <w:color w:val="2A2928"/>
          <w:sz w:val="26"/>
          <w:szCs w:val="26"/>
        </w:rPr>
        <w:t>може</w:t>
      </w:r>
      <w:proofErr w:type="spellEnd"/>
      <w:r w:rsidRPr="00DD453B">
        <w:rPr>
          <w:color w:val="2A2928"/>
          <w:sz w:val="26"/>
          <w:szCs w:val="26"/>
        </w:rPr>
        <w:t xml:space="preserve"> бути </w:t>
      </w:r>
      <w:proofErr w:type="spellStart"/>
      <w:r w:rsidRPr="00DD453B">
        <w:rPr>
          <w:color w:val="2A2928"/>
          <w:sz w:val="26"/>
          <w:szCs w:val="26"/>
        </w:rPr>
        <w:t>підставою</w:t>
      </w:r>
      <w:proofErr w:type="spellEnd"/>
      <w:r w:rsidRPr="00DD453B">
        <w:rPr>
          <w:color w:val="2A2928"/>
          <w:sz w:val="26"/>
          <w:szCs w:val="26"/>
        </w:rPr>
        <w:t xml:space="preserve"> для </w:t>
      </w:r>
      <w:proofErr w:type="spellStart"/>
      <w:r w:rsidRPr="00DD453B">
        <w:rPr>
          <w:color w:val="2A2928"/>
          <w:sz w:val="26"/>
          <w:szCs w:val="26"/>
        </w:rPr>
        <w:t>відмови</w:t>
      </w:r>
      <w:proofErr w:type="spellEnd"/>
      <w:r w:rsidRPr="00DD453B">
        <w:rPr>
          <w:color w:val="2A2928"/>
          <w:sz w:val="26"/>
          <w:szCs w:val="26"/>
        </w:rPr>
        <w:t xml:space="preserve"> у </w:t>
      </w:r>
      <w:proofErr w:type="spellStart"/>
      <w:r w:rsidRPr="00DD453B">
        <w:rPr>
          <w:color w:val="2A2928"/>
          <w:sz w:val="26"/>
          <w:szCs w:val="26"/>
        </w:rPr>
        <w:t>виконанні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робіт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із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відключення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proofErr w:type="spellStart"/>
      <w:r w:rsidRPr="00DD453B">
        <w:rPr>
          <w:color w:val="2A2928"/>
          <w:sz w:val="26"/>
          <w:szCs w:val="26"/>
        </w:rPr>
        <w:t>від</w:t>
      </w:r>
      <w:proofErr w:type="spellEnd"/>
      <w:r w:rsidRPr="00DD453B">
        <w:rPr>
          <w:color w:val="2A2928"/>
          <w:sz w:val="26"/>
          <w:szCs w:val="26"/>
        </w:rPr>
        <w:t xml:space="preserve">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Після виконання робіт із 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>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</w:t>
      </w:r>
      <w:r w:rsidR="00A6276C">
        <w:rPr>
          <w:color w:val="2A2928"/>
          <w:sz w:val="26"/>
          <w:szCs w:val="26"/>
          <w:lang w:val="uk-UA"/>
        </w:rPr>
        <w:t xml:space="preserve">ання гарячої води </w:t>
      </w:r>
      <w:r w:rsidRPr="00DD453B">
        <w:rPr>
          <w:color w:val="2A2928"/>
          <w:sz w:val="26"/>
          <w:szCs w:val="26"/>
          <w:lang w:val="uk-UA"/>
        </w:rPr>
        <w:t>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</w:t>
      </w:r>
      <w:r w:rsidR="00A6276C">
        <w:rPr>
          <w:color w:val="2A2928"/>
          <w:sz w:val="26"/>
          <w:szCs w:val="26"/>
          <w:lang w:val="uk-UA"/>
        </w:rPr>
        <w:t>шого суб'єкта господарювання</w:t>
      </w:r>
      <w:r w:rsidRPr="00DD453B">
        <w:rPr>
          <w:color w:val="2A2928"/>
          <w:sz w:val="26"/>
          <w:szCs w:val="26"/>
          <w:lang w:val="uk-UA"/>
        </w:rPr>
        <w:t>. 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DD453B" w:rsidRDefault="00DD453B" w:rsidP="00DD4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D453B" w:rsidRDefault="00DD453B" w:rsidP="00DD4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proofErr w:type="spellStart"/>
      <w:r w:rsidR="006F7BC2"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власників</w:t>
      </w:r>
      <w:proofErr w:type="spellEnd"/>
      <w:r w:rsidR="006F7BC2"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квартир 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 систем централізованого опалення за адрес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ою</w:t>
      </w:r>
      <w:r w:rsidR="006F7BC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: </w:t>
      </w:r>
      <w:proofErr w:type="spellStart"/>
      <w:r w:rsidR="006F7BC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Святогеоргіївська</w:t>
      </w:r>
      <w:proofErr w:type="spellEnd"/>
      <w:r w:rsidR="006F7BC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, 17/8, враховуючи, що зазначений будинок внесено до переліку багатоквартирних будинків, де 50% і більше </w:t>
      </w:r>
      <w:r w:rsidR="000E4B87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квартир </w:t>
      </w:r>
      <w:r w:rsidR="006F7BC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відключено від централізованого опалення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6F7BC2" w:rsidRPr="006F7BC2" w:rsidRDefault="006F7BC2" w:rsidP="006F7BC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 w:rsid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0" w:name="n62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6F7BC2" w:rsidRDefault="006F7BC2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bookmarkStart w:id="1" w:name="n63"/>
      <w:bookmarkEnd w:id="1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опалення.</w:t>
      </w:r>
      <w:bookmarkStart w:id="2" w:name="n64"/>
      <w:bookmarkEnd w:id="2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3" w:name="n72"/>
      <w:bookmarkEnd w:id="3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0E4B87" w:rsidRP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 w:rsidR="0031479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0E4B87" w:rsidRP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4" w:name="n73"/>
      <w:bookmarkEnd w:id="4"/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0E4B87" w:rsidRPr="006F7BC2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5" w:name="n74"/>
      <w:bookmarkEnd w:id="5"/>
    </w:p>
    <w:p w:rsidR="000E4B87" w:rsidRDefault="000E4B87" w:rsidP="000E4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proofErr w:type="spellStart"/>
      <w:r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власників</w:t>
      </w:r>
      <w:proofErr w:type="spellEnd"/>
      <w:r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квартир 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 систем централізованого опалення за адрес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ою: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вул.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Шостаковича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, 43/2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, враховуючи, 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0E4B87" w:rsidRPr="006F7BC2" w:rsidRDefault="000E4B87" w:rsidP="000E4B8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0E4B87" w:rsidRP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(відключення) відповідно до пункту 9 цього розділу.</w:t>
      </w:r>
    </w:p>
    <w:p w:rsidR="000E4B87" w:rsidRP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0E4B87" w:rsidRPr="006F7BC2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E4B87" w:rsidRDefault="000E4B87" w:rsidP="000E4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proofErr w:type="spellStart"/>
      <w:r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власників</w:t>
      </w:r>
      <w:proofErr w:type="spellEnd"/>
      <w:r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квартир 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 систем централізованого опалення за адрес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ою: вул.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Ш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остаковича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, 47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/2, враховуючи, 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0E4B87" w:rsidRPr="006F7BC2" w:rsidRDefault="000E4B87" w:rsidP="000E4B8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>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0E4B87" w:rsidRP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(відключення) відповідно до пункту 9 цього розділу.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0E4B87" w:rsidRDefault="000E4B87" w:rsidP="000E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E4B87" w:rsidRDefault="000E4B87" w:rsidP="000E4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proofErr w:type="spellStart"/>
      <w:r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власників</w:t>
      </w:r>
      <w:proofErr w:type="spellEnd"/>
      <w:r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квартир 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 систем централізованого опалення за адрес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ою: вул. </w:t>
      </w:r>
      <w:proofErr w:type="spellStart"/>
      <w:r w:rsidR="00693A4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Урюпінська</w:t>
      </w:r>
      <w:proofErr w:type="spellEnd"/>
      <w:r w:rsidR="00693A4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, 6/2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, враховуючи, 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0E4B87" w:rsidRPr="006F7BC2" w:rsidRDefault="000E4B87" w:rsidP="000E4B8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0E4B87" w:rsidRP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>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(відключення) відповідно до пункту 9 цього розділу.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693A4B" w:rsidRDefault="00693A4B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693A4B" w:rsidRDefault="00693A4B" w:rsidP="00693A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7.</w:t>
      </w:r>
      <w:r w:rsidRPr="00693A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proofErr w:type="spellStart"/>
      <w:r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власників</w:t>
      </w:r>
      <w:proofErr w:type="spellEnd"/>
      <w:r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квартир 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 систем централізованого опалення за адрес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ою: 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пр. Поштовий, 43/3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, враховуючи, 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693A4B" w:rsidRPr="006F7BC2" w:rsidRDefault="00693A4B" w:rsidP="00693A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Для відокремлення (відключення) квартири чи нежитлового приміщення власник забезпечує розроблення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 потреби,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забезпечує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проєкту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встановлення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системи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індиві</w:t>
      </w:r>
      <w:proofErr w:type="gram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дуального</w:t>
      </w:r>
      <w:proofErr w:type="spellEnd"/>
      <w:proofErr w:type="gram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теплопостачання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опалення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та/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гарячого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водопостачання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такій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квартирі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чи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нежитловому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приміщенні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виготовленого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державних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будівельних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норм і правил.</w:t>
      </w:r>
    </w:p>
    <w:p w:rsidR="00693A4B" w:rsidRDefault="00693A4B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</w:t>
      </w:r>
      <w:proofErr w:type="spellStart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міжопалювальний</w:t>
      </w:r>
      <w:proofErr w:type="spellEnd"/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693A4B" w:rsidRDefault="00693A4B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693A4B" w:rsidRPr="000E4B87" w:rsidRDefault="00693A4B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(відключення) відповідно до пункту 9 цього розділу.</w:t>
      </w:r>
    </w:p>
    <w:p w:rsidR="00693A4B" w:rsidRDefault="00693A4B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proofErr w:type="spellStart"/>
      <w:proofErr w:type="gram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</w:t>
      </w:r>
      <w:proofErr w:type="gram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ісля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підписання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акта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виконавець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відповідної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комунальної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повідомляє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власника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 перегляд умов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або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розірвання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договору про </w:t>
      </w:r>
      <w:proofErr w:type="spellStart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надання</w:t>
      </w:r>
      <w:proofErr w:type="spellEnd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послуги.</w:t>
      </w:r>
    </w:p>
    <w:p w:rsidR="004E5060" w:rsidRDefault="004E5060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4E5060" w:rsidRPr="004E5060" w:rsidRDefault="004E5060" w:rsidP="00314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 w:eastAsia="en-US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8.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Відмовити власникам (співвласникам) квартир </w:t>
      </w:r>
      <w:r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 відключення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uk-UA"/>
        </w:rPr>
        <w:t>споживачів</w:t>
      </w:r>
      <w:r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r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 систем централізованого опалення за адрес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ою: пр.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 Металургів, 33 (1,2 під’їзд).     </w:t>
      </w:r>
      <w:r w:rsidRPr="004E50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 w:eastAsia="en-US"/>
        </w:rPr>
        <w:t xml:space="preserve">Відповідно до п.2 ст.4 Закону України «Про житлово-комунальні послуги» </w:t>
      </w:r>
      <w:r w:rsidRPr="004E50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lastRenderedPageBreak/>
        <w:t>встановлення порядку відключення споживачів від систем централізованого опалення та постачання гарячої води входить до повноважень центрального органу виконавчої влади, що забезпечує формування та реалізує державну політику у сфері житлово-комунальних послуг.</w:t>
      </w:r>
      <w:r w:rsidR="0031479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 w:eastAsia="en-US"/>
        </w:rPr>
        <w:t xml:space="preserve"> </w:t>
      </w:r>
      <w:r w:rsidRPr="004E50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 w:eastAsia="en-US"/>
        </w:rPr>
        <w:t xml:space="preserve">Порядком, затвердженим Наказом Міністерства регіонального розвитку, будівництва та житлово-комунального господарства України від 26.07.2019 №169 «Про затвердження Порядку відключення споживачів від систем централізованого опалення та постачання гарячої води» (надалі – Порядок) передбачено можливість відключення будівель, в тому числі житлових будинків, а також окремих приміщень </w:t>
      </w:r>
      <w:r w:rsidRPr="004E5060">
        <w:rPr>
          <w:rFonts w:ascii="Times New Roman" w:eastAsia="Times New Roman" w:hAnsi="Times New Roman" w:cs="Times New Roman"/>
          <w:color w:val="2A2928"/>
          <w:sz w:val="26"/>
          <w:szCs w:val="26"/>
          <w:lang w:val="uk-UA"/>
        </w:rPr>
        <w:t xml:space="preserve">від централізованого опалення та гарячого водопостачання </w:t>
      </w:r>
      <w:r w:rsidRPr="004E50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 w:eastAsia="en-US"/>
        </w:rPr>
        <w:t>перелік багатоквартирних будинків, у яких</w:t>
      </w:r>
      <w:r w:rsidRPr="004E5060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  <w:lang w:val="uk-UA" w:eastAsia="en-US"/>
        </w:rPr>
        <w:t> </w:t>
      </w:r>
      <w:r w:rsidRPr="004E50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 w:eastAsia="en-US"/>
        </w:rPr>
        <w:t xml:space="preserve"> не менш як половина квартир та нежитлових приміщень відокремлена (відключена) від мереж централізованого опалення. </w:t>
      </w:r>
    </w:p>
    <w:p w:rsidR="004E5060" w:rsidRPr="004E5060" w:rsidRDefault="004E5060" w:rsidP="003147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 w:eastAsia="en-US"/>
        </w:rPr>
      </w:pPr>
      <w:r w:rsidRPr="004E5060">
        <w:rPr>
          <w:rFonts w:ascii="Times New Roman" w:eastAsia="Calibri" w:hAnsi="Times New Roman" w:cs="Times New Roman"/>
          <w:sz w:val="26"/>
          <w:szCs w:val="26"/>
          <w:lang w:val="uk-UA" w:eastAsia="en-US"/>
        </w:rPr>
        <w:tab/>
        <w:t xml:space="preserve">Будинок №33 на пр. Металургів не входить до переліку будинків, </w:t>
      </w:r>
      <w:r w:rsidRPr="004E50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 w:eastAsia="en-US"/>
        </w:rPr>
        <w:t>у яких</w:t>
      </w:r>
      <w:r w:rsidRPr="004E5060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  <w:lang w:val="uk-UA" w:eastAsia="en-US"/>
        </w:rPr>
        <w:t> </w:t>
      </w:r>
      <w:r w:rsidRPr="004E50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uk-UA" w:eastAsia="en-US"/>
        </w:rPr>
        <w:t xml:space="preserve"> не менш як половина квартир та нежитлових приміщень відокремлена (відключена) від мереж централізованого опалення.</w:t>
      </w:r>
    </w:p>
    <w:p w:rsidR="004E5060" w:rsidRPr="004E5060" w:rsidRDefault="004E5060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Голосували:</w:t>
      </w:r>
    </w:p>
    <w:p w:rsidR="001654BB" w:rsidRDefault="001654BB" w:rsidP="001654BB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</w:t>
      </w:r>
      <w:r>
        <w:rPr>
          <w:bCs/>
          <w:sz w:val="26"/>
          <w:szCs w:val="26"/>
          <w:lang w:val="uk-UA" w:eastAsia="uk-UA" w:bidi="uk-UA"/>
        </w:rPr>
        <w:t>пр. Металургів, 33 (під’їзд 1,2)</w:t>
      </w:r>
      <w:r>
        <w:rPr>
          <w:bCs/>
          <w:sz w:val="26"/>
          <w:szCs w:val="26"/>
          <w:lang w:val="uk-UA" w:eastAsia="uk-UA" w:bidi="uk-UA"/>
        </w:rPr>
        <w:t xml:space="preserve"> – «за» - 0; «проти» - 6; «утримався» - 4;</w:t>
      </w:r>
    </w:p>
    <w:p w:rsidR="001654BB" w:rsidRPr="005370E7" w:rsidRDefault="001654BB" w:rsidP="001654BB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Упіта</w:t>
      </w:r>
      <w:proofErr w:type="spellEnd"/>
      <w:r>
        <w:rPr>
          <w:bCs/>
          <w:sz w:val="26"/>
          <w:szCs w:val="26"/>
          <w:lang w:val="uk-UA" w:eastAsia="uk-UA" w:bidi="uk-UA"/>
        </w:rPr>
        <w:t>, 70;</w:t>
      </w:r>
      <w:r w:rsidRPr="001654BB"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>«за»</w:t>
      </w:r>
      <w:r>
        <w:rPr>
          <w:bCs/>
          <w:sz w:val="26"/>
          <w:szCs w:val="26"/>
          <w:lang w:val="uk-UA" w:eastAsia="uk-UA" w:bidi="uk-UA"/>
        </w:rPr>
        <w:t xml:space="preserve"> - 10</w:t>
      </w:r>
      <w:r>
        <w:rPr>
          <w:bCs/>
          <w:sz w:val="26"/>
          <w:szCs w:val="26"/>
          <w:lang w:val="uk-UA" w:eastAsia="uk-UA" w:bidi="uk-UA"/>
        </w:rPr>
        <w:t>;</w:t>
      </w:r>
      <w:r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>«проти» - 0.</w:t>
      </w:r>
    </w:p>
    <w:p w:rsidR="001654BB" w:rsidRPr="005370E7" w:rsidRDefault="001654BB" w:rsidP="001654BB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в</w:t>
      </w:r>
      <w:r>
        <w:rPr>
          <w:bCs/>
          <w:sz w:val="26"/>
          <w:szCs w:val="26"/>
          <w:lang w:val="uk-UA" w:eastAsia="uk-UA" w:bidi="uk-UA"/>
        </w:rPr>
        <w:t xml:space="preserve">ул. </w:t>
      </w:r>
      <w:proofErr w:type="spellStart"/>
      <w:r>
        <w:rPr>
          <w:bCs/>
          <w:sz w:val="26"/>
          <w:szCs w:val="26"/>
          <w:lang w:val="uk-UA" w:eastAsia="uk-UA" w:bidi="uk-UA"/>
        </w:rPr>
        <w:t>І</w:t>
      </w:r>
      <w:r>
        <w:rPr>
          <w:bCs/>
          <w:sz w:val="26"/>
          <w:szCs w:val="26"/>
          <w:lang w:val="uk-UA" w:eastAsia="uk-UA" w:bidi="uk-UA"/>
        </w:rPr>
        <w:t>орданська</w:t>
      </w:r>
      <w:proofErr w:type="spellEnd"/>
      <w:r>
        <w:rPr>
          <w:bCs/>
          <w:sz w:val="26"/>
          <w:szCs w:val="26"/>
          <w:lang w:val="uk-UA" w:eastAsia="uk-UA" w:bidi="uk-UA"/>
        </w:rPr>
        <w:t>, 11;</w:t>
      </w:r>
      <w:r w:rsidRPr="001654BB"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>«за»</w:t>
      </w:r>
      <w:r>
        <w:rPr>
          <w:bCs/>
          <w:sz w:val="26"/>
          <w:szCs w:val="26"/>
          <w:lang w:val="uk-UA" w:eastAsia="uk-UA" w:bidi="uk-UA"/>
        </w:rPr>
        <w:t xml:space="preserve"> - 9</w:t>
      </w:r>
      <w:r>
        <w:rPr>
          <w:bCs/>
          <w:sz w:val="26"/>
          <w:szCs w:val="26"/>
          <w:lang w:val="uk-UA" w:eastAsia="uk-UA" w:bidi="uk-UA"/>
        </w:rPr>
        <w:t>;</w:t>
      </w:r>
      <w:r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>«проти» - 0</w:t>
      </w:r>
      <w:r>
        <w:rPr>
          <w:bCs/>
          <w:sz w:val="26"/>
          <w:szCs w:val="26"/>
          <w:lang w:val="uk-UA" w:eastAsia="uk-UA" w:bidi="uk-UA"/>
        </w:rPr>
        <w:t xml:space="preserve">; </w:t>
      </w:r>
      <w:r>
        <w:rPr>
          <w:bCs/>
          <w:sz w:val="26"/>
          <w:szCs w:val="26"/>
          <w:lang w:val="uk-UA" w:eastAsia="uk-UA" w:bidi="uk-UA"/>
        </w:rPr>
        <w:t>«утримався»</w:t>
      </w:r>
      <w:r>
        <w:rPr>
          <w:bCs/>
          <w:sz w:val="26"/>
          <w:szCs w:val="26"/>
          <w:lang w:val="uk-UA" w:eastAsia="uk-UA" w:bidi="uk-UA"/>
        </w:rPr>
        <w:t xml:space="preserve"> - 1.</w:t>
      </w:r>
    </w:p>
    <w:p w:rsidR="001654BB" w:rsidRDefault="001654BB" w:rsidP="001654BB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Святогеоргіївська</w:t>
      </w:r>
      <w:proofErr w:type="spellEnd"/>
      <w:r>
        <w:rPr>
          <w:bCs/>
          <w:sz w:val="26"/>
          <w:szCs w:val="26"/>
          <w:lang w:val="uk-UA" w:eastAsia="uk-UA" w:bidi="uk-UA"/>
        </w:rPr>
        <w:t>, 17/8;</w:t>
      </w:r>
      <w:r w:rsidRPr="001654BB"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>«за» - 10; «проти» - 0</w:t>
      </w:r>
      <w:r>
        <w:rPr>
          <w:bCs/>
          <w:sz w:val="26"/>
          <w:szCs w:val="26"/>
          <w:lang w:val="uk-UA" w:eastAsia="uk-UA" w:bidi="uk-UA"/>
        </w:rPr>
        <w:t>.</w:t>
      </w:r>
    </w:p>
    <w:p w:rsidR="001654BB" w:rsidRDefault="001654BB" w:rsidP="001654BB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Шостаковича</w:t>
      </w:r>
      <w:proofErr w:type="spellEnd"/>
      <w:r>
        <w:rPr>
          <w:bCs/>
          <w:sz w:val="26"/>
          <w:szCs w:val="26"/>
          <w:lang w:val="uk-UA" w:eastAsia="uk-UA" w:bidi="uk-UA"/>
        </w:rPr>
        <w:t>, 43/2;</w:t>
      </w:r>
      <w:r w:rsidRPr="001654BB"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>«за» - 10; «проти» - 0</w:t>
      </w:r>
      <w:r>
        <w:rPr>
          <w:bCs/>
          <w:sz w:val="26"/>
          <w:szCs w:val="26"/>
          <w:lang w:val="uk-UA" w:eastAsia="uk-UA" w:bidi="uk-UA"/>
        </w:rPr>
        <w:t>.</w:t>
      </w:r>
    </w:p>
    <w:p w:rsidR="001654BB" w:rsidRDefault="001654BB" w:rsidP="001654BB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Шостаковича</w:t>
      </w:r>
      <w:proofErr w:type="spellEnd"/>
      <w:r>
        <w:rPr>
          <w:bCs/>
          <w:sz w:val="26"/>
          <w:szCs w:val="26"/>
          <w:lang w:val="uk-UA" w:eastAsia="uk-UA" w:bidi="uk-UA"/>
        </w:rPr>
        <w:t>, 47/2;</w:t>
      </w:r>
      <w:r w:rsidRPr="001654BB"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>«за» - 10; «проти» - 0</w:t>
      </w:r>
      <w:r>
        <w:rPr>
          <w:bCs/>
          <w:sz w:val="26"/>
          <w:szCs w:val="26"/>
          <w:lang w:val="uk-UA" w:eastAsia="uk-UA" w:bidi="uk-UA"/>
        </w:rPr>
        <w:t>.</w:t>
      </w:r>
    </w:p>
    <w:p w:rsidR="001654BB" w:rsidRDefault="001654BB" w:rsidP="001654BB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 xml:space="preserve">- вул. </w:t>
      </w:r>
      <w:proofErr w:type="spellStart"/>
      <w:r>
        <w:rPr>
          <w:bCs/>
          <w:sz w:val="26"/>
          <w:szCs w:val="26"/>
          <w:lang w:val="uk-UA" w:eastAsia="uk-UA" w:bidi="uk-UA"/>
        </w:rPr>
        <w:t>Урюпінська</w:t>
      </w:r>
      <w:proofErr w:type="spellEnd"/>
      <w:r>
        <w:rPr>
          <w:bCs/>
          <w:sz w:val="26"/>
          <w:szCs w:val="26"/>
          <w:lang w:val="uk-UA" w:eastAsia="uk-UA" w:bidi="uk-UA"/>
        </w:rPr>
        <w:t>, 6/2;</w:t>
      </w:r>
      <w:r w:rsidRPr="001654BB"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>«за» - 10; «проти» - 0</w:t>
      </w:r>
      <w:r>
        <w:rPr>
          <w:bCs/>
          <w:sz w:val="26"/>
          <w:szCs w:val="26"/>
          <w:lang w:val="uk-UA" w:eastAsia="uk-UA" w:bidi="uk-UA"/>
        </w:rPr>
        <w:t>.</w:t>
      </w:r>
    </w:p>
    <w:p w:rsidR="001654BB" w:rsidRDefault="001654BB" w:rsidP="001654BB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пр. Поштовий, 43/3.</w:t>
      </w:r>
      <w:r w:rsidRPr="001654BB">
        <w:rPr>
          <w:bCs/>
          <w:sz w:val="26"/>
          <w:szCs w:val="26"/>
          <w:lang w:val="uk-UA" w:eastAsia="uk-UA" w:bidi="uk-UA"/>
        </w:rPr>
        <w:t xml:space="preserve"> </w:t>
      </w:r>
      <w:r>
        <w:rPr>
          <w:bCs/>
          <w:sz w:val="26"/>
          <w:szCs w:val="26"/>
          <w:lang w:val="uk-UA" w:eastAsia="uk-UA" w:bidi="uk-UA"/>
        </w:rPr>
        <w:t>«за» - 10; «проти» - 0</w:t>
      </w:r>
      <w:r>
        <w:rPr>
          <w:bCs/>
          <w:sz w:val="26"/>
          <w:szCs w:val="26"/>
          <w:lang w:val="uk-UA" w:eastAsia="uk-UA" w:bidi="uk-UA"/>
        </w:rPr>
        <w:t>.</w:t>
      </w:r>
    </w:p>
    <w:p w:rsidR="001654BB" w:rsidRDefault="001654BB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A6276C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sectPr w:rsidR="00A6276C" w:rsidSect="00ED6B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02" w:rsidRDefault="00932302" w:rsidP="00A8722F">
      <w:pPr>
        <w:spacing w:after="0" w:line="240" w:lineRule="auto"/>
      </w:pPr>
      <w:r>
        <w:separator/>
      </w:r>
    </w:p>
  </w:endnote>
  <w:endnote w:type="continuationSeparator" w:id="0">
    <w:p w:rsidR="00932302" w:rsidRDefault="00932302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02" w:rsidRDefault="00932302" w:rsidP="00A8722F">
      <w:pPr>
        <w:spacing w:after="0" w:line="240" w:lineRule="auto"/>
      </w:pPr>
      <w:r>
        <w:separator/>
      </w:r>
    </w:p>
  </w:footnote>
  <w:footnote w:type="continuationSeparator" w:id="0">
    <w:p w:rsidR="00932302" w:rsidRDefault="00932302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84">
          <w:rPr>
            <w:noProof/>
          </w:rPr>
          <w:t>9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654BB"/>
    <w:rsid w:val="001844B3"/>
    <w:rsid w:val="00192925"/>
    <w:rsid w:val="001A07AA"/>
    <w:rsid w:val="001A3778"/>
    <w:rsid w:val="001C30CC"/>
    <w:rsid w:val="001C6452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755C"/>
    <w:rsid w:val="0051334C"/>
    <w:rsid w:val="00520240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7F9"/>
    <w:rsid w:val="007C6AD5"/>
    <w:rsid w:val="007D0E3C"/>
    <w:rsid w:val="007D1581"/>
    <w:rsid w:val="007E2F9D"/>
    <w:rsid w:val="007E30F0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7A3B"/>
    <w:rsid w:val="00A11062"/>
    <w:rsid w:val="00A1396A"/>
    <w:rsid w:val="00A22EB9"/>
    <w:rsid w:val="00A27E3C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D453B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50B4-C6A2-44EE-8D1B-AB0E258B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5</cp:revision>
  <cp:lastPrinted>2020-08-04T08:52:00Z</cp:lastPrinted>
  <dcterms:created xsi:type="dcterms:W3CDTF">2020-08-04T07:13:00Z</dcterms:created>
  <dcterms:modified xsi:type="dcterms:W3CDTF">2020-08-04T09:33:00Z</dcterms:modified>
</cp:coreProperties>
</file>