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6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BB6AB5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6AB5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аступник </w:t>
      </w:r>
      <w:r w:rsidR="00BB6AB5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міського голови,</w:t>
      </w:r>
    </w:p>
    <w:p w:rsidR="00966EA6" w:rsidRDefault="00BB6AB5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голова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комісії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EA6" w:rsidRPr="00BC07B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B6AB5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 Олександр Катриченко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4555A3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55A3">
        <w:rPr>
          <w:rFonts w:ascii="Times New Roman" w:hAnsi="Times New Roman" w:cs="Times New Roman"/>
          <w:sz w:val="28"/>
          <w:szCs w:val="28"/>
          <w:lang w:val="uk-UA"/>
        </w:rPr>
        <w:t>10.12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4555A3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55DB3" w:rsidRPr="0012356E" w:rsidRDefault="00962365" w:rsidP="00787C8E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966EA6" w:rsidRDefault="00BB6AB5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міського голови, голова комісії</w:t>
      </w:r>
    </w:p>
    <w:p w:rsidR="00BB6AB5" w:rsidRDefault="00BB6AB5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4555A3" w:rsidRDefault="004555A3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66EA6" w:rsidRDefault="00067C99" w:rsidP="004555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tbl>
      <w:tblPr>
        <w:tblStyle w:val="a9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5764"/>
      </w:tblGrid>
      <w:tr w:rsidR="009D7189" w:rsidRPr="009D7189" w:rsidTr="00787C8E">
        <w:trPr>
          <w:trHeight w:val="35"/>
        </w:trPr>
        <w:tc>
          <w:tcPr>
            <w:tcW w:w="3979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64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787C8E">
        <w:trPr>
          <w:trHeight w:val="35"/>
        </w:trPr>
        <w:tc>
          <w:tcPr>
            <w:tcW w:w="3979" w:type="dxa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294E30" w:rsidRP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</w:tc>
        <w:tc>
          <w:tcPr>
            <w:tcW w:w="5764" w:type="dxa"/>
          </w:tcPr>
          <w:p w:rsidR="00294E30" w:rsidRPr="009D7189" w:rsidRDefault="00FB7F3D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</w:t>
            </w:r>
            <w:r w:rsid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а-головний інженер Комунального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</w:t>
            </w:r>
            <w:r w:rsid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9D7189" w:rsidRPr="009D7189" w:rsidTr="00787C8E">
        <w:trPr>
          <w:trHeight w:val="35"/>
        </w:trPr>
        <w:tc>
          <w:tcPr>
            <w:tcW w:w="3979" w:type="dxa"/>
          </w:tcPr>
          <w:p w:rsidR="00FB7F3D" w:rsidRDefault="00FB7F3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4" w:type="dxa"/>
          </w:tcPr>
          <w:p w:rsid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787C8E">
        <w:trPr>
          <w:trHeight w:val="35"/>
        </w:trPr>
        <w:tc>
          <w:tcPr>
            <w:tcW w:w="3979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326022" w:rsidRDefault="00326022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 </w:t>
            </w:r>
          </w:p>
          <w:p w:rsidR="00326022" w:rsidRPr="00294E30" w:rsidRDefault="00326022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</w:tc>
        <w:tc>
          <w:tcPr>
            <w:tcW w:w="5764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Default="004555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294E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</w:t>
            </w:r>
            <w:r w:rsidR="003260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ктор КП «</w:t>
            </w:r>
            <w:proofErr w:type="spellStart"/>
            <w:r w:rsidR="003260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="003260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  <w:proofErr w:type="spellStart"/>
            <w:r w:rsidR="0032602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-різької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раи</w:t>
            </w:r>
            <w:proofErr w:type="spellEnd"/>
          </w:p>
          <w:p w:rsidR="00326022" w:rsidRDefault="0032602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326022" w:rsidRPr="009D7189" w:rsidRDefault="0032602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відділу природних монополій ДРІМ, секретар комісії</w:t>
            </w:r>
          </w:p>
        </w:tc>
      </w:tr>
      <w:tr w:rsidR="000E1A30" w:rsidRPr="004555A3" w:rsidTr="00787C8E">
        <w:trPr>
          <w:trHeight w:val="35"/>
        </w:trPr>
        <w:tc>
          <w:tcPr>
            <w:tcW w:w="3979" w:type="dxa"/>
          </w:tcPr>
          <w:p w:rsidR="00326022" w:rsidRDefault="0032602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4555A3" w:rsidRDefault="004555A3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555A3" w:rsidRDefault="004555A3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555A3" w:rsidRDefault="004555A3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Чорний                                                </w:t>
            </w:r>
          </w:p>
          <w:p w:rsidR="004555A3" w:rsidRDefault="004555A3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D87185" w:rsidRDefault="00D87185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  <w:p w:rsidR="00037235" w:rsidRPr="00326022" w:rsidRDefault="00037235" w:rsidP="00326022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64" w:type="dxa"/>
          </w:tcPr>
          <w:p w:rsidR="00326022" w:rsidRPr="004555A3" w:rsidRDefault="0032602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4555A3" w:rsidRDefault="000E1A30" w:rsidP="0032602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4555A3" w:rsidRDefault="004555A3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555A3" w:rsidRDefault="004555A3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провідний фахівець відділу цивільного </w:t>
            </w:r>
            <w:proofErr w:type="spellStart"/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за-хисту</w:t>
            </w:r>
            <w:proofErr w:type="spellEnd"/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Криворіз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ького міського управління Го</w:t>
            </w:r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ловного управління Державної служби України з надзвичайних ситуацій у Дніпропетровській області, майор служби ци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віль</w:t>
            </w:r>
            <w:r w:rsidRPr="004555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ного захисту </w:t>
            </w:r>
            <w:r w:rsidRPr="00455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 згодою).</w:t>
            </w:r>
          </w:p>
          <w:p w:rsidR="00D87185" w:rsidRDefault="00D87185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87185" w:rsidRDefault="00D87185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начальник теплової інспекції АТ «Криворізька</w:t>
            </w:r>
          </w:p>
          <w:p w:rsidR="00D87185" w:rsidRPr="004555A3" w:rsidRDefault="00D87185" w:rsidP="004555A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теплоцентраль»</w:t>
            </w:r>
          </w:p>
          <w:p w:rsidR="004555A3" w:rsidRPr="004555A3" w:rsidRDefault="004555A3" w:rsidP="0032602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2F64" w:rsidRPr="004555A3" w:rsidTr="00787C8E">
        <w:trPr>
          <w:trHeight w:val="35"/>
        </w:trPr>
        <w:tc>
          <w:tcPr>
            <w:tcW w:w="3979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64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</w:tbl>
    <w:p w:rsidR="00655DB3" w:rsidRPr="009D7189" w:rsidRDefault="00787C8E" w:rsidP="00787C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Ч</w:t>
      </w:r>
      <w:r w:rsidR="00F42E7E" w:rsidRPr="009D7189">
        <w:rPr>
          <w:rFonts w:ascii="Times New Roman" w:hAnsi="Times New Roman" w:cs="Times New Roman"/>
          <w:sz w:val="26"/>
          <w:szCs w:val="26"/>
          <w:lang w:val="uk-UA"/>
        </w:rPr>
        <w:t>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326022">
        <w:rPr>
          <w:sz w:val="26"/>
          <w:szCs w:val="26"/>
          <w:lang w:val="uk-UA"/>
        </w:rPr>
        <w:t>О</w:t>
      </w:r>
      <w:r w:rsidR="0063736C">
        <w:rPr>
          <w:sz w:val="26"/>
          <w:szCs w:val="26"/>
          <w:lang w:val="uk-UA"/>
        </w:rPr>
        <w:t>лексан</w:t>
      </w:r>
      <w:r w:rsidR="00326022">
        <w:rPr>
          <w:sz w:val="26"/>
          <w:szCs w:val="26"/>
          <w:lang w:val="uk-UA"/>
        </w:rPr>
        <w:t xml:space="preserve">дра </w:t>
      </w:r>
      <w:proofErr w:type="spellStart"/>
      <w:r w:rsidR="00326022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F52E9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  <w:r w:rsidR="00F52E9C">
        <w:rPr>
          <w:bCs/>
          <w:sz w:val="26"/>
          <w:szCs w:val="26"/>
          <w:lang w:val="uk-UA" w:eastAsia="uk-UA" w:bidi="uk-UA"/>
        </w:rPr>
        <w:t xml:space="preserve">вул. </w:t>
      </w:r>
      <w:proofErr w:type="spellStart"/>
      <w:r w:rsidR="00F52E9C">
        <w:rPr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 w:rsidR="00F52E9C">
        <w:rPr>
          <w:bCs/>
          <w:sz w:val="26"/>
          <w:szCs w:val="26"/>
          <w:lang w:val="uk-UA" w:eastAsia="uk-UA" w:bidi="uk-UA"/>
        </w:rPr>
        <w:t>, 17/6 та                      вул. Криворіжсталі, 60</w:t>
      </w:r>
      <w:r w:rsidR="00326022">
        <w:rPr>
          <w:bCs/>
          <w:sz w:val="26"/>
          <w:szCs w:val="26"/>
          <w:lang w:val="uk-UA" w:eastAsia="uk-UA" w:bidi="uk-UA"/>
        </w:rPr>
        <w:t>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87185" w:rsidRPr="00D87185" w:rsidRDefault="00914069" w:rsidP="00D8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D87185">
        <w:rPr>
          <w:rFonts w:ascii="Times New Roman" w:hAnsi="Times New Roman" w:cs="Times New Roman"/>
          <w:sz w:val="26"/>
          <w:szCs w:val="26"/>
          <w:lang w:val="uk-UA"/>
        </w:rPr>
        <w:t>квартири №6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D87185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 w:rsidR="00D87185">
        <w:rPr>
          <w:rFonts w:ascii="Times New Roman" w:hAnsi="Times New Roman" w:cs="Times New Roman"/>
          <w:sz w:val="26"/>
          <w:szCs w:val="26"/>
          <w:lang w:val="uk-UA"/>
        </w:rPr>
        <w:t>Святогеоргіївська</w:t>
      </w:r>
      <w:proofErr w:type="spellEnd"/>
      <w:r w:rsidR="00D87185">
        <w:rPr>
          <w:rFonts w:ascii="Times New Roman" w:hAnsi="Times New Roman" w:cs="Times New Roman"/>
          <w:sz w:val="26"/>
          <w:szCs w:val="26"/>
          <w:lang w:val="uk-UA"/>
        </w:rPr>
        <w:t>, 17</w:t>
      </w:r>
      <w:r w:rsidR="003260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 w:rsidR="00D87185">
        <w:rPr>
          <w:rFonts w:ascii="Times New Roman" w:hAnsi="Times New Roman" w:cs="Times New Roman"/>
          <w:sz w:val="26"/>
          <w:szCs w:val="26"/>
          <w:lang w:val="uk-UA"/>
        </w:rPr>
        <w:t>мереж централізованого опалення</w:t>
      </w:r>
      <w:r w:rsidR="00D87185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D87185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D87185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D87185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D87185" w:rsidRPr="000E4B87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D87185" w:rsidRPr="000E4B87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D87185" w:rsidRPr="006F7BC2" w:rsidRDefault="00D87185" w:rsidP="00D8718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5" w:name="n74"/>
      <w:bookmarkEnd w:id="5"/>
    </w:p>
    <w:p w:rsidR="00787C8E" w:rsidRPr="00D06907" w:rsidRDefault="00D87185" w:rsidP="0078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 xml:space="preserve">2. </w:t>
      </w:r>
      <w:r w:rsidR="00787C8E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787C8E">
        <w:rPr>
          <w:rFonts w:ascii="Times New Roman" w:hAnsi="Times New Roman" w:cs="Times New Roman"/>
          <w:sz w:val="26"/>
          <w:szCs w:val="26"/>
          <w:lang w:val="uk-UA"/>
        </w:rPr>
        <w:t xml:space="preserve">озвіл на відключення житлового </w:t>
      </w:r>
      <w:r w:rsidR="00787C8E">
        <w:rPr>
          <w:rFonts w:ascii="Times New Roman" w:hAnsi="Times New Roman" w:cs="Times New Roman"/>
          <w:sz w:val="26"/>
          <w:szCs w:val="26"/>
          <w:lang w:val="uk-UA"/>
        </w:rPr>
        <w:t>будинку №60</w:t>
      </w:r>
      <w:r w:rsidR="00787C8E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787C8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вул. Криворіжсталі</w:t>
      </w:r>
      <w:r w:rsidR="00787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87C8E" w:rsidRPr="00D06907">
        <w:rPr>
          <w:rFonts w:ascii="Times New Roman" w:hAnsi="Times New Roman" w:cs="Times New Roman"/>
          <w:sz w:val="26"/>
          <w:szCs w:val="26"/>
          <w:lang w:val="uk-UA"/>
        </w:rPr>
        <w:t>від  мереж централізованого опалення.</w:t>
      </w:r>
      <w:r w:rsidR="00787C8E" w:rsidRPr="00787C8E">
        <w:rPr>
          <w:lang w:val="uk-UA"/>
        </w:rPr>
        <w:t xml:space="preserve"> </w:t>
      </w:r>
      <w:r w:rsidR="00787C8E" w:rsidRPr="00787C8E">
        <w:rPr>
          <w:rFonts w:ascii="Times New Roman" w:hAnsi="Times New Roman" w:cs="Times New Roman"/>
          <w:sz w:val="26"/>
          <w:szCs w:val="26"/>
          <w:lang w:val="uk-UA"/>
        </w:rPr>
        <w:t>Відповідно до статуту ОСББ рішення вважається прийнятим, якщо за відповідне рішення проголосували співвласники, які разом мають не менш як 2/3 від загальної кількості голосів співвласників</w:t>
      </w:r>
    </w:p>
    <w:p w:rsidR="00787C8E" w:rsidRPr="00DD453B" w:rsidRDefault="00787C8E" w:rsidP="00787C8E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>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787C8E" w:rsidRPr="00DD453B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787C8E" w:rsidRPr="00DD453B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787C8E" w:rsidRPr="00DD453B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 xml:space="preserve">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787C8E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Узгодження дати і часу виконання робіт із відключення від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 виконавцями таких робіт</w:t>
      </w:r>
      <w:r>
        <w:rPr>
          <w:color w:val="2A2928"/>
          <w:sz w:val="26"/>
          <w:szCs w:val="26"/>
          <w:lang w:val="uk-UA"/>
        </w:rPr>
        <w:t>.</w:t>
      </w:r>
      <w:r w:rsidRPr="00DD453B">
        <w:rPr>
          <w:color w:val="2A2928"/>
          <w:sz w:val="26"/>
          <w:szCs w:val="26"/>
          <w:lang w:val="uk-UA"/>
        </w:rPr>
        <w:t xml:space="preserve"> </w:t>
      </w:r>
    </w:p>
    <w:p w:rsidR="00787C8E" w:rsidRPr="00326022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Після виконання робіт із відключення будівлі від </w:t>
      </w:r>
      <w:r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 xml:space="preserve">. </w:t>
      </w:r>
      <w:r w:rsidRPr="00326022">
        <w:rPr>
          <w:color w:val="2A2928"/>
          <w:sz w:val="26"/>
          <w:szCs w:val="26"/>
          <w:lang w:val="uk-UA"/>
        </w:rPr>
        <w:t>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787C8E" w:rsidRDefault="00787C8E" w:rsidP="00787C8E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87185" w:rsidRDefault="00D87185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D87185" w:rsidRDefault="00D87185" w:rsidP="00D87185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Голосували</w:t>
      </w:r>
      <w:r w:rsidR="00B5328E">
        <w:rPr>
          <w:color w:val="2A2928"/>
          <w:sz w:val="26"/>
          <w:szCs w:val="26"/>
          <w:lang w:val="uk-UA"/>
        </w:rPr>
        <w:t xml:space="preserve"> за надання дозволу</w:t>
      </w:r>
      <w:r w:rsidR="00787C8E">
        <w:rPr>
          <w:color w:val="2A2928"/>
          <w:sz w:val="26"/>
          <w:szCs w:val="26"/>
          <w:lang w:val="uk-UA"/>
        </w:rPr>
        <w:t>: «за» - 9</w:t>
      </w:r>
      <w:r>
        <w:rPr>
          <w:color w:val="2A2928"/>
          <w:sz w:val="26"/>
          <w:szCs w:val="26"/>
          <w:lang w:val="uk-UA"/>
        </w:rPr>
        <w:t>;</w:t>
      </w:r>
    </w:p>
    <w:p w:rsidR="00D87185" w:rsidRDefault="00D87185" w:rsidP="00D8718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ab/>
        <w:t xml:space="preserve">«утримались» - </w:t>
      </w:r>
      <w:r w:rsidR="00787C8E">
        <w:rPr>
          <w:color w:val="2A2928"/>
          <w:sz w:val="26"/>
          <w:szCs w:val="26"/>
          <w:lang w:val="uk-UA"/>
        </w:rPr>
        <w:t>0</w:t>
      </w:r>
      <w:r>
        <w:rPr>
          <w:color w:val="2A2928"/>
          <w:sz w:val="26"/>
          <w:szCs w:val="26"/>
          <w:lang w:val="uk-UA"/>
        </w:rPr>
        <w:t>;</w:t>
      </w:r>
    </w:p>
    <w:p w:rsidR="00D87185" w:rsidRDefault="00D87185" w:rsidP="00D8718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ab/>
        <w:t>«проти» - 0.</w:t>
      </w:r>
    </w:p>
    <w:p w:rsidR="00D87185" w:rsidRDefault="00D87185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787C8E" w:rsidRDefault="00787C8E" w:rsidP="00326022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</w:p>
    <w:p w:rsidR="0063736C" w:rsidRPr="0063736C" w:rsidRDefault="0063736C" w:rsidP="00326022">
      <w:pPr>
        <w:pStyle w:val="tj"/>
        <w:shd w:val="clear" w:color="auto" w:fill="FFFFFF"/>
        <w:spacing w:before="0" w:beforeAutospacing="0" w:after="0" w:afterAutospacing="0"/>
        <w:jc w:val="both"/>
        <w:rPr>
          <w:i/>
          <w:color w:val="2A2928"/>
          <w:sz w:val="26"/>
          <w:szCs w:val="26"/>
          <w:lang w:val="uk-UA"/>
        </w:rPr>
      </w:pPr>
      <w:bookmarkStart w:id="6" w:name="_GoBack"/>
      <w:bookmarkEnd w:id="6"/>
      <w:r w:rsidRPr="0063736C">
        <w:rPr>
          <w:i/>
          <w:color w:val="2A2928"/>
          <w:sz w:val="26"/>
          <w:szCs w:val="26"/>
          <w:lang w:val="uk-UA"/>
        </w:rPr>
        <w:t>Секретар комісії</w:t>
      </w:r>
      <w:r w:rsidRPr="0063736C"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ab/>
      </w:r>
      <w:r>
        <w:rPr>
          <w:i/>
          <w:color w:val="2A2928"/>
          <w:sz w:val="26"/>
          <w:szCs w:val="26"/>
          <w:lang w:val="uk-UA"/>
        </w:rPr>
        <w:t xml:space="preserve"> </w:t>
      </w:r>
      <w:r>
        <w:rPr>
          <w:i/>
          <w:color w:val="2A2928"/>
          <w:sz w:val="26"/>
          <w:szCs w:val="26"/>
          <w:lang w:val="uk-UA"/>
        </w:rPr>
        <w:tab/>
      </w:r>
      <w:r>
        <w:rPr>
          <w:i/>
          <w:color w:val="2A2928"/>
          <w:sz w:val="26"/>
          <w:szCs w:val="26"/>
          <w:lang w:val="uk-UA"/>
        </w:rPr>
        <w:tab/>
      </w:r>
      <w:r w:rsidRPr="0063736C">
        <w:rPr>
          <w:i/>
          <w:color w:val="2A2928"/>
          <w:sz w:val="26"/>
          <w:szCs w:val="26"/>
          <w:lang w:val="uk-UA"/>
        </w:rPr>
        <w:t>Тетяна Рябченко</w:t>
      </w:r>
    </w:p>
    <w:p w:rsidR="00DD453B" w:rsidRPr="0063736C" w:rsidRDefault="00DD453B" w:rsidP="00DD453B">
      <w:pPr>
        <w:spacing w:after="0" w:line="240" w:lineRule="auto"/>
        <w:ind w:hanging="60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DD453B" w:rsidRPr="0063736C" w:rsidSect="00787C8E">
      <w:headerReference w:type="default" r:id="rId9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BB" w:rsidRDefault="000723BB" w:rsidP="00A8722F">
      <w:pPr>
        <w:spacing w:after="0" w:line="240" w:lineRule="auto"/>
      </w:pPr>
      <w:r>
        <w:separator/>
      </w:r>
    </w:p>
  </w:endnote>
  <w:endnote w:type="continuationSeparator" w:id="0">
    <w:p w:rsidR="000723BB" w:rsidRDefault="000723BB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BB" w:rsidRDefault="000723BB" w:rsidP="00A8722F">
      <w:pPr>
        <w:spacing w:after="0" w:line="240" w:lineRule="auto"/>
      </w:pPr>
      <w:r>
        <w:separator/>
      </w:r>
    </w:p>
  </w:footnote>
  <w:footnote w:type="continuationSeparator" w:id="0">
    <w:p w:rsidR="000723BB" w:rsidRDefault="000723BB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8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23BB"/>
    <w:rsid w:val="000736EE"/>
    <w:rsid w:val="0007400A"/>
    <w:rsid w:val="00074087"/>
    <w:rsid w:val="000B0A52"/>
    <w:rsid w:val="000B101B"/>
    <w:rsid w:val="000D1A8D"/>
    <w:rsid w:val="000D5844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654BB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26022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04C4"/>
    <w:rsid w:val="004211C2"/>
    <w:rsid w:val="00426783"/>
    <w:rsid w:val="004449A2"/>
    <w:rsid w:val="00453004"/>
    <w:rsid w:val="00453989"/>
    <w:rsid w:val="004555A3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1334C"/>
    <w:rsid w:val="00520240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3736C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87C8E"/>
    <w:rsid w:val="007962B3"/>
    <w:rsid w:val="007A454E"/>
    <w:rsid w:val="007A4DF6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37833"/>
    <w:rsid w:val="00B41242"/>
    <w:rsid w:val="00B41B34"/>
    <w:rsid w:val="00B43066"/>
    <w:rsid w:val="00B5328E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AB5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87185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2E9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B680-6A5B-4722-8B5B-74E44C3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5</cp:revision>
  <cp:lastPrinted>2020-12-15T12:45:00Z</cp:lastPrinted>
  <dcterms:created xsi:type="dcterms:W3CDTF">2020-12-15T06:34:00Z</dcterms:created>
  <dcterms:modified xsi:type="dcterms:W3CDTF">2020-12-15T12:47:00Z</dcterms:modified>
</cp:coreProperties>
</file>