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8A" w:rsidRDefault="00C14E1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1fob9te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0D298A" w:rsidRDefault="00C14E1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0D298A" w:rsidRDefault="000D298A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№6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23 квітня 2021 року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Яровий Ю.Б. – голова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 – заступник голови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 – секр</w:t>
      </w:r>
      <w:r w:rsidR="002F6FAD">
        <w:rPr>
          <w:rFonts w:ascii="Times New Roman" w:eastAsia="Times New Roman" w:hAnsi="Times New Roman" w:cs="Times New Roman"/>
          <w:sz w:val="28"/>
          <w:szCs w:val="28"/>
        </w:rPr>
        <w:t>етар постійної комісії, Харькін </w:t>
      </w:r>
      <w:r>
        <w:rPr>
          <w:rFonts w:ascii="Times New Roman" w:eastAsia="Times New Roman" w:hAnsi="Times New Roman" w:cs="Times New Roman"/>
          <w:sz w:val="28"/>
          <w:szCs w:val="28"/>
        </w:rPr>
        <w:t>О.А. – член постійної комісії, Антоневський В.Ю. – заступник голови постійної комісії (запізнився).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Відсутні: </w:t>
      </w:r>
      <w:r>
        <w:rPr>
          <w:rFonts w:ascii="Times New Roman" w:eastAsia="Times New Roman" w:hAnsi="Times New Roman" w:cs="Times New Roman"/>
          <w:sz w:val="28"/>
          <w:szCs w:val="28"/>
        </w:rPr>
        <w:t>немає.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298A" w:rsidRDefault="00C14E15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засіданні взяли участь: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Карий І.О. – директор департаменту розвитку інфраструктури міста виконкому  Криворізької міської ради, </w:t>
      </w:r>
      <w:proofErr w:type="spellStart"/>
      <w:r w:rsidR="002F6FAD">
        <w:rPr>
          <w:rFonts w:ascii="Times New Roman" w:eastAsia="Times New Roman" w:hAnsi="Times New Roman" w:cs="Times New Roman"/>
          <w:sz w:val="28"/>
          <w:szCs w:val="28"/>
        </w:rPr>
        <w:t>Зельцер</w:t>
      </w:r>
      <w:proofErr w:type="spellEnd"/>
      <w:r w:rsidR="002F6FAD">
        <w:rPr>
          <w:rFonts w:ascii="Times New Roman" w:eastAsia="Times New Roman" w:hAnsi="Times New Roman" w:cs="Times New Roman"/>
          <w:sz w:val="28"/>
          <w:szCs w:val="28"/>
        </w:rPr>
        <w:t xml:space="preserve"> Д.Ю.</w:t>
      </w:r>
      <w:r w:rsidR="00680F8E" w:rsidRPr="00680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0F8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80F8E" w:rsidRPr="00680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6FAD">
        <w:rPr>
          <w:rFonts w:ascii="Times New Roman" w:eastAsia="Times New Roman" w:hAnsi="Times New Roman" w:cs="Times New Roman"/>
          <w:sz w:val="28"/>
          <w:szCs w:val="28"/>
        </w:rPr>
        <w:t xml:space="preserve">заступник начальника управління капітального будівництва виконкому Криворізької міської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Рябова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Т.П. –  </w:t>
      </w:r>
      <w:r w:rsidR="002F6FAD">
        <w:rPr>
          <w:rFonts w:ascii="Times New Roman" w:eastAsia="Times New Roman" w:hAnsi="Times New Roman" w:cs="Times New Roman"/>
          <w:sz w:val="28"/>
          <w:szCs w:val="28"/>
        </w:rPr>
        <w:t>начальник фінансово-економічного відділу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управління транспорту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телекомунікацій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виконкому Криворізької міської ради, засоби масової інформації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Рудана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та «34 телеканал».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0D298A" w:rsidRDefault="000D298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0D298A" w:rsidRDefault="00C14E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Розгляд питань порядку денного пленарного засідання VІІ сесії Криворізької міської ради VІII скликання.</w:t>
      </w:r>
    </w:p>
    <w:tbl>
      <w:tblPr>
        <w:tblStyle w:val="afff7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0D298A">
        <w:trPr>
          <w:trHeight w:val="331"/>
        </w:trPr>
        <w:tc>
          <w:tcPr>
            <w:tcW w:w="2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0D298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298A" w:rsidRDefault="00C14E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ПРОФІЛЬНІ ПИТАННЯ</w:t>
      </w:r>
    </w:p>
    <w:p w:rsidR="000D298A" w:rsidRDefault="000D2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8"/>
        <w:tblW w:w="98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8080"/>
      </w:tblGrid>
      <w:tr w:rsidR="000D298A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11.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24.12.2015 №66 «Про затвердження Програми розвитку підприємств міського електротранспорту на 2016–2023 роки»</w:t>
            </w:r>
          </w:p>
        </w:tc>
      </w:tr>
      <w:tr w:rsidR="000D298A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12.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  2017-2022 років»</w:t>
            </w:r>
          </w:p>
        </w:tc>
      </w:tr>
      <w:tr w:rsidR="000D298A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13.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 внесення змін до рішення міської ради від 21.12.2016 №1209  «Про затвердження Програми розвитку та утримання житлово-комунального господарства міста на період 2017–2022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років»</w:t>
            </w:r>
          </w:p>
        </w:tc>
      </w:tr>
      <w:tr w:rsidR="000D298A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Питання 14.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298A" w:rsidRDefault="00C14E1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</w:tbl>
    <w:p w:rsidR="000D298A" w:rsidRDefault="000D2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98A" w:rsidRDefault="00C1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питання №№ 1-10, 15-66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порядку денного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«пакетом».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D298A" w:rsidRDefault="000D29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98A" w:rsidRDefault="00C14E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Про розгляд звернення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Саксаганської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районної у місті ради Наталі Бобрової щодо будівництва нової станції швидкісного трамваю «Гірницька»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298A" w:rsidRDefault="000D29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98A" w:rsidRDefault="00C14E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Різне.</w:t>
      </w:r>
    </w:p>
    <w:p w:rsidR="000D298A" w:rsidRDefault="000D298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4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0D298A" w:rsidRDefault="000D2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перейти до розгляду питань порядку денного пленарного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VІІ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скликання:</w:t>
      </w:r>
    </w:p>
    <w:tbl>
      <w:tblPr>
        <w:tblStyle w:val="afff9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0D298A">
        <w:trPr>
          <w:trHeight w:val="310"/>
        </w:trPr>
        <w:tc>
          <w:tcPr>
            <w:tcW w:w="1701" w:type="dxa"/>
          </w:tcPr>
          <w:p w:rsidR="000D298A" w:rsidRDefault="00C14E15">
            <w:pPr>
              <w:tabs>
                <w:tab w:val="right" w:pos="2052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11</w:t>
            </w:r>
          </w:p>
        </w:tc>
        <w:tc>
          <w:tcPr>
            <w:tcW w:w="7938" w:type="dxa"/>
          </w:tcPr>
          <w:p w:rsidR="000D298A" w:rsidRDefault="00C1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24.12.2015 №66 «Про затвердження Програми розвитку підприємств міського електротранспорту на 2016–2023 роки»</w:t>
            </w:r>
          </w:p>
        </w:tc>
      </w:tr>
    </w:tbl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proofErr w:type="spellStart"/>
      <w:r w:rsidR="00EA4595">
        <w:rPr>
          <w:rFonts w:ascii="Times New Roman" w:eastAsia="Times New Roman" w:hAnsi="Times New Roman" w:cs="Times New Roman"/>
          <w:b/>
          <w:sz w:val="28"/>
          <w:szCs w:val="28"/>
        </w:rPr>
        <w:t>Рябову</w:t>
      </w:r>
      <w:proofErr w:type="spellEnd"/>
      <w:r w:rsidR="00EA4595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Т.П.,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роз’ясненнями з даного питання.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підтримати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VІІ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проект рішення.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VІІ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проект  рішення.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a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0D298A">
        <w:trPr>
          <w:trHeight w:val="310"/>
        </w:trPr>
        <w:tc>
          <w:tcPr>
            <w:tcW w:w="1809" w:type="dxa"/>
          </w:tcPr>
          <w:p w:rsidR="000D298A" w:rsidRDefault="00C14E15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12</w:t>
            </w:r>
          </w:p>
        </w:tc>
        <w:tc>
          <w:tcPr>
            <w:tcW w:w="7821" w:type="dxa"/>
          </w:tcPr>
          <w:p w:rsidR="000D298A" w:rsidRDefault="00C14E15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  2017-2022 років»</w:t>
            </w:r>
          </w:p>
        </w:tc>
      </w:tr>
      <w:tr w:rsidR="000D298A">
        <w:trPr>
          <w:trHeight w:val="310"/>
        </w:trPr>
        <w:tc>
          <w:tcPr>
            <w:tcW w:w="1809" w:type="dxa"/>
          </w:tcPr>
          <w:p w:rsidR="000D298A" w:rsidRDefault="00C14E15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13</w:t>
            </w:r>
          </w:p>
        </w:tc>
        <w:tc>
          <w:tcPr>
            <w:tcW w:w="7821" w:type="dxa"/>
          </w:tcPr>
          <w:p w:rsidR="000D298A" w:rsidRDefault="00C14E1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№1209  «Про затвердження Програми розвитку та утримання житлово-комунального господарства міста на період 2017–2022 років»</w:t>
            </w:r>
          </w:p>
        </w:tc>
      </w:tr>
    </w:tbl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Карий І.О.,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даних питань. До обговорення долучився депутат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та винести на розгляд VІІ сесії міської ради VIIІ скликання дані проекти  рішень.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««За» – 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Бєлєхова 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VII сесії міської ради VIIІ скликання дані проекти  рішень.</w:t>
      </w:r>
    </w:p>
    <w:p w:rsidR="000D298A" w:rsidRDefault="000D298A"/>
    <w:tbl>
      <w:tblPr>
        <w:tblStyle w:val="afffb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0D298A">
        <w:trPr>
          <w:trHeight w:val="331"/>
        </w:trPr>
        <w:tc>
          <w:tcPr>
            <w:tcW w:w="1809" w:type="dxa"/>
          </w:tcPr>
          <w:p w:rsidR="000D298A" w:rsidRDefault="00C14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14</w:t>
            </w:r>
          </w:p>
        </w:tc>
        <w:tc>
          <w:tcPr>
            <w:tcW w:w="7825" w:type="dxa"/>
          </w:tcPr>
          <w:p w:rsidR="000D298A" w:rsidRDefault="00C14E1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</w:tbl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proofErr w:type="spellStart"/>
      <w:r w:rsidR="00680F8E" w:rsidRPr="00680F8E">
        <w:rPr>
          <w:rFonts w:ascii="Times New Roman" w:eastAsia="Times New Roman" w:hAnsi="Times New Roman" w:cs="Times New Roman"/>
          <w:b/>
          <w:sz w:val="28"/>
          <w:szCs w:val="28"/>
        </w:rPr>
        <w:t>Зельцер</w:t>
      </w:r>
      <w:proofErr w:type="spellEnd"/>
      <w:r w:rsidR="00680F8E" w:rsidRPr="00680F8E">
        <w:rPr>
          <w:rFonts w:ascii="Times New Roman" w:eastAsia="Times New Roman" w:hAnsi="Times New Roman" w:cs="Times New Roman"/>
          <w:b/>
          <w:sz w:val="28"/>
          <w:szCs w:val="28"/>
        </w:rPr>
        <w:t xml:space="preserve"> Д.Ю.</w:t>
      </w:r>
      <w:r w:rsidRPr="00680F8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роз’ясненнями з даних питань.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та винести на розгляд  VII сесії міської ради VIIІ скликання даний проект  рішення.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VII сесії міської ради VIIІ скликання дані проекти  рішень.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gjdgxs" w:colFirst="0" w:colLast="0"/>
      <w:bookmarkEnd w:id="2"/>
    </w:p>
    <w:p w:rsidR="000D298A" w:rsidRDefault="00C14E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проекти  рішень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№№ 1-10, 15-66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проектів рішень підтримати та винести на розгляд VII сесії міської ради VIIІ скликання пакетом.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0D298A" w:rsidRDefault="00C14E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VII сесії міської ради VIIІ скликання дані проекти  рішень.</w:t>
      </w:r>
    </w:p>
    <w:p w:rsidR="000D298A" w:rsidRDefault="000D298A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tbl>
      <w:tblPr>
        <w:tblStyle w:val="afffc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0D298A">
        <w:trPr>
          <w:trHeight w:val="310"/>
        </w:trPr>
        <w:tc>
          <w:tcPr>
            <w:tcW w:w="1701" w:type="dxa"/>
          </w:tcPr>
          <w:p w:rsidR="000D298A" w:rsidRDefault="00C14E15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</w:p>
        </w:tc>
        <w:tc>
          <w:tcPr>
            <w:tcW w:w="7938" w:type="dxa"/>
          </w:tcPr>
          <w:p w:rsidR="000D298A" w:rsidRDefault="00C1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 розгляд звернення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депутата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Саксаганської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районної у місті ради Наталі Бобрової щодо будівництва нової станції швидкісного трамваю «Гірницька»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D298A" w:rsidRDefault="000D2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зачитав відповідь на звернення, підготовлену управлінням транспорту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телекомунікацій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виконкому Криворізької міської ради. До обговорення долучилася депутат міської   Бєлєхова О.С., яка зауважила про відсутність інформації про можливість організації переходу до станції швидкісного трамваю «Майдан Праці» з боку мікрорайону Гірницький.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95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доручив управлінню транспорту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телекомунікацій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виконкому Криворізької міської ради допрацювати питання та підготувати інформацію</w:t>
      </w:r>
      <w:r w:rsidR="00EA459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щодо можливості облаштування переходу до станції швидкісного трамваю «Майдан Праці» з боку мікрорайону Гірницький на наступне засідання постійної комісії, що відбудеться у травні 2021 року.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Перенести розгляд звернення депутата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Саксаганської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районної у місті ради Бобрової Н.М. на наступне засідання постійної комісії міської ради з питань комунального господарства, транспорту та зв’язку.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298A" w:rsidRDefault="00C14E1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Юрій Яровий</w:t>
      </w:r>
    </w:p>
    <w:p w:rsidR="000D298A" w:rsidRDefault="000D298A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Ольга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0D298A" w:rsidSect="002F6FAD">
      <w:headerReference w:type="default" r:id="rId8"/>
      <w:pgSz w:w="11906" w:h="16838"/>
      <w:pgMar w:top="1134" w:right="567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870" w:rsidRDefault="00696870">
      <w:pPr>
        <w:spacing w:after="0" w:line="240" w:lineRule="auto"/>
      </w:pPr>
      <w:r>
        <w:separator/>
      </w:r>
    </w:p>
  </w:endnote>
  <w:endnote w:type="continuationSeparator" w:id="0">
    <w:p w:rsidR="00696870" w:rsidRDefault="00696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870" w:rsidRDefault="00696870">
      <w:pPr>
        <w:spacing w:after="0" w:line="240" w:lineRule="auto"/>
      </w:pPr>
      <w:r>
        <w:separator/>
      </w:r>
    </w:p>
  </w:footnote>
  <w:footnote w:type="continuationSeparator" w:id="0">
    <w:p w:rsidR="00696870" w:rsidRDefault="00696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8A" w:rsidRDefault="00C14E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A0E35">
      <w:rPr>
        <w:noProof/>
        <w:color w:val="000000"/>
      </w:rPr>
      <w:t>4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8A"/>
    <w:rsid w:val="000D298A"/>
    <w:rsid w:val="002F6FAD"/>
    <w:rsid w:val="00680F8E"/>
    <w:rsid w:val="00696870"/>
    <w:rsid w:val="007A693E"/>
    <w:rsid w:val="007B67A2"/>
    <w:rsid w:val="00C14E15"/>
    <w:rsid w:val="00C1648A"/>
    <w:rsid w:val="00CA0E35"/>
    <w:rsid w:val="00EA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WFCiL6cc//4j9a/ORi4wleB3iw==">AMUW2mVTr2wDZlZCwB5WQhcvlCJ4Zv6Aiedw2pW3bjKDV4pgXQh0RtqraPNUJOnUjVuNePY2+123vpdisnGalpPyZFBnZXUJFKBHVjcUC+6SdwptilpOFXp2tY9CEfx7Vv5LtfOTbfoJ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3924</Words>
  <Characters>2238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2</cp:revision>
  <dcterms:created xsi:type="dcterms:W3CDTF">2021-04-27T06:08:00Z</dcterms:created>
  <dcterms:modified xsi:type="dcterms:W3CDTF">2021-04-27T06:08:00Z</dcterms:modified>
</cp:coreProperties>
</file>