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23657B67" wp14:editId="073BE754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070C2" w:rsidRDefault="007070C2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70C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№32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засідання постійної комісії від 26 січня 2018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070C2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7070C2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А.В.,  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С.О., Шевченко Н.Г.,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6"/>
                <w:szCs w:val="6"/>
              </w:rPr>
            </w:pP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Благун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 І.М.,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Охотнікова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С.А.,  Мурашко К.В., Жупінас С.І., Гринь І.Д.;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>З питання</w:t>
            </w:r>
            <w:r w:rsidRPr="007070C2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 xml:space="preserve">«Про моніторингові дослідження якості водних об’єктів в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Тернівському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, Покровському, Саксаганському районах міста та організацію виконкомами районних у місті рад охорони водойм, додержання режиму використання територій водоохоронних зон і прибережних захисних смуг»: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Лушпій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А.А. – заступник голови Покровської районної в місті ради з питань виконавчих органів, Басок Л.В. – головний спеціаліст відділу економіки та промисловості виконкому Покровської районної в місті ради,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Шатохіна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М.С. – головний спеціаліст відділу економіки та промисловості виконкому Саксаганської районної в місті ради,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Фуголь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В.О. – завідуюча відділом з питань земельних відносин та будівництва виконкому Тернівської районної в місті ради;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10"/>
                <w:szCs w:val="10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10"/>
                <w:szCs w:val="10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Волошина О.І. –   з питання розгляду звернення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Волошиної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А.В. , доньки, до депутата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Бурман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Л.В.,</w:t>
            </w:r>
          </w:p>
          <w:p w:rsidR="007070C2" w:rsidRPr="007070C2" w:rsidRDefault="007070C2" w:rsidP="007070C2">
            <w:pPr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8"/>
                <w:szCs w:val="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Сурняєв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Ю.В.  – помічник-консультант депутата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Петрухіна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А.В.;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Нікітіна С.В. – представник 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Криворізької міської комунальної газети «Червоний гірник»,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Чайковська П.Ю. – представник «Домашньої газети»,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Амбросова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Г.М. – коаліція  «Досить труїти Кривий Ріг»,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ru-RU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представники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ТРК «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Рудана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».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7070C2" w:rsidRPr="007070C2" w:rsidTr="007070C2">
        <w:trPr>
          <w:trHeight w:val="260"/>
        </w:trPr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Відсутні:</w:t>
            </w:r>
          </w:p>
        </w:tc>
        <w:tc>
          <w:tcPr>
            <w:tcW w:w="7754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</w:t>
            </w:r>
            <w:bookmarkStart w:id="0" w:name="_GoBack"/>
            <w:bookmarkEnd w:id="0"/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  </w:t>
      </w:r>
      <w:proofErr w:type="spellStart"/>
      <w:r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26.01.2018.</w:t>
      </w: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  <w:r w:rsidRPr="007070C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7070C2" w:rsidRPr="007070C2" w:rsidRDefault="007070C2" w:rsidP="007070C2">
      <w:pPr>
        <w:tabs>
          <w:tab w:val="left" w:pos="11766"/>
        </w:tabs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proofErr w:type="spellStart"/>
      <w:r w:rsidRPr="007070C2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Pr="007070C2">
        <w:rPr>
          <w:rFonts w:ascii="Times New Roman" w:eastAsia="Calibri" w:hAnsi="Times New Roman" w:cs="Times New Roman"/>
          <w:sz w:val="28"/>
          <w:szCs w:val="28"/>
        </w:rPr>
        <w:t>із пропозицією розглянути на засіданні постійної комісії 26.01.2018 проекти рішень міської ради №</w:t>
      </w:r>
      <w:r w:rsidRPr="007070C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98,99</w:t>
      </w:r>
      <w:r w:rsidRPr="007070C2">
        <w:rPr>
          <w:rFonts w:ascii="Calibri" w:eastAsia="Times New Roman" w:hAnsi="Calibri" w:cs="Times New Roman"/>
          <w:spacing w:val="-2"/>
          <w:sz w:val="36"/>
          <w:szCs w:val="36"/>
          <w:lang w:eastAsia="ru-RU"/>
        </w:rPr>
        <w:t xml:space="preserve"> </w:t>
      </w: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погодження  актів  про прийняття  виконаних  робіт з рекультивації, проведеної на  відпрацьованих землях, що використовуються  приватним акціонерним товариством                                         </w:t>
      </w:r>
      <w:r w:rsidRPr="007070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"СУХА БАЛКА", « Про погодження коригування меж водоохоронних зон уздовж річок Інгульця та </w:t>
      </w:r>
      <w:proofErr w:type="spellStart"/>
      <w:r w:rsidRPr="007070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Саксагані</w:t>
      </w:r>
      <w:proofErr w:type="spellEnd"/>
      <w:r w:rsidRPr="007070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місті Кривому Розі Дніпропетровської області».</w:t>
      </w:r>
    </w:p>
    <w:p w:rsidR="007070C2" w:rsidRPr="007070C2" w:rsidRDefault="007070C2" w:rsidP="007070C2">
      <w:pPr>
        <w:tabs>
          <w:tab w:val="left" w:pos="11766"/>
        </w:tabs>
        <w:spacing w:after="120" w:line="240" w:lineRule="auto"/>
        <w:ind w:right="28"/>
        <w:jc w:val="both"/>
        <w:rPr>
          <w:rFonts w:ascii="Times New Roman" w:eastAsia="Calibri" w:hAnsi="Times New Roman" w:cs="Times New Roman"/>
          <w:b/>
          <w:color w:val="FF0000"/>
          <w:sz w:val="12"/>
          <w:szCs w:val="12"/>
        </w:rPr>
      </w:pPr>
      <w:r w:rsidRPr="007070C2"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  <w:lang w:eastAsia="ru-RU"/>
        </w:rPr>
        <w:t xml:space="preserve"> </w:t>
      </w: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7070C2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26.01.2018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7620"/>
        <w:gridCol w:w="1809"/>
      </w:tblGrid>
      <w:tr w:rsidR="007070C2" w:rsidRPr="007070C2" w:rsidTr="007070C2">
        <w:tc>
          <w:tcPr>
            <w:tcW w:w="426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620" w:type="dxa"/>
            <w:hideMark/>
          </w:tcPr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порядку денного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XXXI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сесії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ради</w:t>
            </w:r>
            <w:proofErr w:type="gramEnd"/>
          </w:p>
        </w:tc>
        <w:tc>
          <w:tcPr>
            <w:tcW w:w="1809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40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7070C2" w:rsidRPr="007070C2" w:rsidTr="007070C2">
        <w:tc>
          <w:tcPr>
            <w:tcW w:w="426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7620" w:type="dxa"/>
          </w:tcPr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моніторингові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дослідження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якості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водних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об’єктів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в</w:t>
            </w:r>
            <w:proofErr w:type="gram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Тернівському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Покровському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Саксаганському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районах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міста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організацію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виконкомами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районних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місті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рад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охорони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водойм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додержання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режиму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використання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територій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водоохоронних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зон і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прибережних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захисних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смуг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15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хвилин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7070C2" w:rsidRPr="007070C2" w:rsidTr="007070C2">
        <w:tc>
          <w:tcPr>
            <w:tcW w:w="426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7620" w:type="dxa"/>
            <w:hideMark/>
          </w:tcPr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хід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виконання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р</w:t>
            </w:r>
            <w:proofErr w:type="gram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ішення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Криворізької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ради 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26.04.2017 №1592 «Про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внесення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змін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рішення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ради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31.03.2016 №385 «Про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затвердження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комплексної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програми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 xml:space="preserve"> «СТОП –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інфаркт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  <w:t>» на 2016-2020 роки»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ind w:left="1275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 w:eastAsia="ru-RU"/>
              </w:rPr>
              <w:t xml:space="preserve">    </w:t>
            </w:r>
          </w:p>
        </w:tc>
        <w:tc>
          <w:tcPr>
            <w:tcW w:w="1809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7070C2" w:rsidRPr="007070C2" w:rsidTr="007070C2">
        <w:tc>
          <w:tcPr>
            <w:tcW w:w="426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7620" w:type="dxa"/>
          </w:tcPr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Про план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роботи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постійної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комісії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ради з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екології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охорони здоров’я та </w:t>
            </w:r>
            <w:proofErr w:type="gram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іального захисту населення на I півріччя 2018 року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7070C2" w:rsidRPr="007070C2" w:rsidTr="007070C2">
        <w:trPr>
          <w:trHeight w:val="705"/>
        </w:trPr>
        <w:tc>
          <w:tcPr>
            <w:tcW w:w="426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7620" w:type="dxa"/>
          </w:tcPr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виконання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доручень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наданих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засіданні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постійно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ї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комісії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15.12.2017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15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7070C2" w:rsidRPr="007070C2" w:rsidTr="007070C2">
        <w:tc>
          <w:tcPr>
            <w:tcW w:w="426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7620" w:type="dxa"/>
          </w:tcPr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</w:t>
            </w:r>
            <w:proofErr w:type="gram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ізне</w:t>
            </w:r>
            <w:proofErr w:type="spellEnd"/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hideMark/>
          </w:tcPr>
          <w:p w:rsidR="007070C2" w:rsidRPr="007070C2" w:rsidRDefault="007070C2" w:rsidP="007070C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5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</w:tbl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6,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7070C2" w:rsidRPr="007070C2" w:rsidTr="007070C2">
        <w:tc>
          <w:tcPr>
            <w:tcW w:w="10105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color w:val="FF0000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не приймав участь у голосуванні в зв’язку з виробничою необхідністю.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Слухали з першого, третього питань: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з пропозицією розглянути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проекти рішень, підготовлені  на  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XXXI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сесію Криворізької міської ради;</w:t>
            </w:r>
          </w:p>
          <w:p w:rsidR="007070C2" w:rsidRPr="007070C2" w:rsidRDefault="007070C2" w:rsidP="007070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   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Охотнікову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С. А., </w:t>
            </w:r>
            <w:r w:rsidRPr="007070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начальника управління екології виконкому міської ради,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щодо проектів рішень </w:t>
            </w:r>
            <w:r w:rsidRPr="007070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«Про затвердження звіту з виконання у 2017 році Міської програми вирішення екологічних проблем Кривбасу та поліпшення стану навколишнього природного середовища на 2016 – 2025 роки», «Про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роки», «Про внесення змін до рішення міської  ради  від 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середовища»;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7070C2" w:rsidRPr="007070C2">
              <w:trPr>
                <w:trHeight w:val="331"/>
              </w:trPr>
              <w:tc>
                <w:tcPr>
                  <w:tcW w:w="9889" w:type="dxa"/>
                  <w:hideMark/>
                </w:tcPr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І.М</w:t>
                  </w: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., 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директора департаменту соціальної політики виконкому міської ради щодо проектів рішень «Про затвердження звіту з виконання у 2017 році Програми соціального захисту окремих категорій мешканців м. Кривого Рогу на 2017 – 2019 роки», «Про затвердження звіту з виконання у 2017 році комплексної програми підтримки у 2017 – 2019 роках у м. Кривому Розі учасників антитерористичної операції на сході України, членів їх сімей і сімей загиблих у ході її проведення»;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Мурашка К.В.,</w:t>
                  </w:r>
                  <w:r w:rsidRPr="007070C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начальника управління охорони здоров’я                                                           виконкому міської ради 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проектів рішень</w:t>
                  </w:r>
                  <w:r w:rsidRPr="007070C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«Про затвердження звіту з виконання у  2017 році заходів міжгалузевої комплексної програми «Здоров’я нації» у м. Кривому Розі на 2017 – 2021 роки та делегування членів до госпітальної ради Криворізького госпітального округу», «Про затвердження звіту з виконання у 2017 році  заходів міської комплексної програми «СТОП – інфаркт» на 2016 – 2020  роки»;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7070C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spellStart"/>
                  <w:r w:rsidRPr="007070C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Жупінаса</w:t>
                  </w:r>
                  <w:proofErr w:type="spellEnd"/>
                  <w:r w:rsidRPr="007070C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С.І.,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начальника управління з питань надзвичайних ситуацій та цивільного захисту населення виконкому міської ради</w:t>
                  </w:r>
                  <w:r w:rsidRPr="007070C2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проектів рішень   «Про затвердження звіту з виконання у 2017 році Програми поповнення та використання матеріального резерву для запобігання,  ліквідації надзвичайних ситуацій техногенного й природного характеру та їх наслідків у м. Кривому Розі на  2016 – 2020 роки», «Про затвердження звіту з виконання у 2017 році Програми розвитку системи цивільного захисту в  м. Кривому Розі на  2016 – 2020 роки»;</w:t>
                  </w:r>
                </w:p>
                <w:p w:rsidR="007070C2" w:rsidRPr="007070C2" w:rsidRDefault="007070C2" w:rsidP="007070C2">
                  <w:pPr>
                    <w:tabs>
                      <w:tab w:val="left" w:pos="11766"/>
                    </w:tabs>
                    <w:spacing w:after="120" w:line="240" w:lineRule="auto"/>
                    <w:ind w:right="28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pacing w:val="-12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        </w:t>
                  </w:r>
                  <w:r w:rsidRPr="007070C2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"/>
                      <w:szCs w:val="2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</w:tbl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Артюх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В.М.  про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відсутність підтвердження від контролюючих органів  про виконання ПАО «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умов дозволу на викиди від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двухванного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сталеплавильного агрегату №6 мартенівського цеху;  невиконання ПАО «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заходів обласної та міської екологічних програм в установлені терміни стосовно експлуатації ДСПА-6; з пропозицією доповнити проект рішення «Про затвердження звіту з виконання у 2017 році Міської програми вирішення екологічних проблем Кривбасу та поліпшення стану навколишнього природного середовища на 2016 – 2025 роки» пунктом щодо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направлення звернення до Міністерства екології та природних ресурсів України стосовно стану виконання ПАО «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умов дозволу на викиди від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двухванного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сталеплавильного агрегату №6 мартенівського цеху, ураховуючи думку представників  депутатського корпусу Дніпропетровської обласної ради, Криворізької міської ради; запропонував в квітні розглянути на засіданні постійної комісії з природокористування, екології, охорони здоров’я та  соціального захисту населення питання про виділення коштів на придбання мобільної станції для проведення контрольних замірів за станом атмосферного повітря та води;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</w:t>
            </w: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8"/>
                <w:lang w:eastAsia="ru-RU"/>
              </w:rPr>
              <w:t xml:space="preserve">     </w:t>
            </w:r>
            <w:r w:rsidRPr="007070C2">
              <w:rPr>
                <w:rFonts w:ascii="Times New Roman" w:eastAsia="Times New Roman" w:hAnsi="Times New Roman" w:cs="Times New Roman"/>
                <w:i/>
                <w:color w:val="FF0000"/>
                <w:sz w:val="26"/>
                <w:szCs w:val="28"/>
                <w:lang w:eastAsia="ru-RU"/>
              </w:rPr>
              <w:t xml:space="preserve">  </w:t>
            </w: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  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невиконання ПАО «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вимог постійної комісії забезпечити проведення перевірки стосовно умов дозволу на викиди від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двухванного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сталеплавильного агрегату №6 мартенівського цеху;  звернув увагу на проведену значну  роботу  управлінням екології виконкому міської ради  щодо підготовки  вперше розгорнутого та детального звіту з виконання у 2017 році Міської програми вирішення екологічних проблем Кривбасу та поліпшення стану навколишнього природного середовища на 2016 – 2025 роки, але зауважив на необхідність раніше надсилати проект звіту з метою його доопрацювання, про  відсутність в звіті  конкретної інформації щодо результатів виконання де-яких заходів; зазначив, що при підготовці проекту рішення було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скомпільовано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звіти підприємств без їх детального аналізу та перевірки достовірності результатів; запропонував змінити текст про результати виконання де-яких заходів програми в проекті рішення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«Про затвердження звіту з виконання у 2017 році Міської програми вирішення екологічних проблем Кривбасу та поліпшення стану навколишнього природного середовища на 2016 – 2025 роки» у зв’язку з тим, що в деяких випадках результати не відповідають завданням і є маніпулятивними, є результати, що не відповідають принципам природоохоронної діяльності, а також в одному випадку замість результатів вказані плани на 2018 рік; про невиконання проекту по річці Саксагань;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пропозицією взяти на контроль використання коштів на виконання  замірів забруднення  від діяльності 2-х підприємств ( 2.5 млн. грн.); запропонував збільшити виділення коштів на здійснення контрольних замірів стану повітря та води згідно раніше прийнятих комісією рішень; запланувати придбання мобільної станції для проведення замірів стану атмосферного повітря;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стан будівництва та реконструкцій амбулаторій в місті Кривому Розі, ситуацію з корю та дифтерією в місті;  стосовно проекту № 98 – про  необхідність забезпечити ПрАТ «Суха Балка» вжиття дієвих і якісних  заходів з рекультивації,  у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закінчення проектів рекультивації впродовж 2-3 років та проведення біологічної рекультивації протягом 3-5 років;  зауважив на невідповідність проекту рішення міської ради №99 вимогам чинного законодавства України стосовно водоохоронних зон, а також недоцільності зменшення водоохоронної зони із урахуванням збільшення навантаження на водні об’єкти;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Охотнікова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С.А.,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пропозицією  в подальшому,   перед винесенням  звіту за 2018 рік,  проект  попередньо обговорювати на засіданні робочої групи з питань охорони навколишнього природного середовища; розглянути можливість перенесення терміну щорічного звітування на березень у зв’язку з наявністю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статистичних даних від підзвітних підприємств;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Фролова С.О.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щодо  проблемної ситуації, пов’язаної з проведенням реконструкції приміщення для амбулаторії  по вул.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Електрозаводській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22.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7070C2" w:rsidRPr="007070C2" w:rsidRDefault="007070C2" w:rsidP="007070C2">
            <w:pPr>
              <w:spacing w:line="240" w:lineRule="auto"/>
              <w:ind w:left="70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7070C2" w:rsidRPr="007070C2" w:rsidRDefault="007070C2" w:rsidP="007070C2">
            <w:pPr>
              <w:spacing w:line="240" w:lineRule="auto"/>
              <w:ind w:left="708"/>
              <w:contextualSpacing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  <w:lang w:val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Підтримати порядок денний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XXXI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сесії міської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ради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не приймав участь у голосуванні в зв’язку з виробничою необхідністю.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70C2" w:rsidRPr="007070C2" w:rsidRDefault="007070C2" w:rsidP="007070C2">
            <w:pPr>
              <w:spacing w:line="240" w:lineRule="auto"/>
              <w:ind w:left="7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Підтримати проекти рішень міської ради:  </w:t>
            </w:r>
          </w:p>
          <w:p w:rsidR="007070C2" w:rsidRPr="007070C2" w:rsidRDefault="007070C2" w:rsidP="007070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«Про затвердження звіту з виконання у 2017 році Міської програми вирішення екологічних проблем Кривбасу та поліпшення стану навколишнього природного середовища на 2016 – 2025 роки»,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5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1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(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)  ,  «утримались» - 0;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не приймав участь у голосуванні в зв’язку з виробничою необхідністю.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2"/>
                <w:szCs w:val="12"/>
              </w:rPr>
            </w:pPr>
          </w:p>
          <w:p w:rsidR="007070C2" w:rsidRPr="007070C2" w:rsidRDefault="007070C2" w:rsidP="007070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6"/>
                <w:szCs w:val="6"/>
                <w:lang w:eastAsia="ru-RU"/>
              </w:rPr>
            </w:pPr>
          </w:p>
          <w:p w:rsidR="007070C2" w:rsidRPr="007070C2" w:rsidRDefault="007070C2" w:rsidP="007070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«Про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роки»,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6 ,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не приймав участь у голосуванні в зв’язку з виробничою необхідністю.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2"/>
                <w:szCs w:val="12"/>
              </w:rPr>
            </w:pPr>
          </w:p>
          <w:p w:rsidR="007070C2" w:rsidRPr="007070C2" w:rsidRDefault="007070C2" w:rsidP="007070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6"/>
                <w:szCs w:val="6"/>
                <w:lang w:eastAsia="ru-RU"/>
              </w:rPr>
            </w:pPr>
          </w:p>
          <w:p w:rsidR="007070C2" w:rsidRPr="007070C2" w:rsidRDefault="007070C2" w:rsidP="007070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6"/>
                <w:szCs w:val="6"/>
                <w:lang w:eastAsia="ru-RU"/>
              </w:rPr>
            </w:pP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7070C2" w:rsidRPr="007070C2">
              <w:trPr>
                <w:trHeight w:val="331"/>
              </w:trPr>
              <w:tc>
                <w:tcPr>
                  <w:tcW w:w="9889" w:type="dxa"/>
                </w:tcPr>
                <w:p w:rsidR="007070C2" w:rsidRPr="007070C2" w:rsidRDefault="007070C2" w:rsidP="007070C2">
                  <w:pPr>
                    <w:tabs>
                      <w:tab w:val="num" w:pos="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«Про внесення змін до рішення міської  ради  від 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6,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proofErr w:type="spellStart"/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Павліков</w:t>
                  </w:r>
                  <w:proofErr w:type="spellEnd"/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А.В. не приймав участь у голосуванні в зв’язку з виробничою необхідністю.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color w:val="FF0000"/>
                      <w:spacing w:val="-10"/>
                      <w:sz w:val="28"/>
                      <w:szCs w:val="28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«Про затвердження звіту з виконання у 2017 році Програми соціального захисту окремих категорій мешканців м. Кривого Рогу на 2017 – 2019 роки»,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7,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«Про затвердження звіту з виконання у 2017 році комплексної програми підтримки у 2017 – 2019 роках у м. Кривому Розі учасників антитерористичної операції на сході України, членів їх сімей і сімей загиблих у ході її проведення»;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7,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«Про затвердження звіту з виконання у  2017 році заходів міжгалузевої комплексної програми «Здоров’я нації» у м. Кривому Розі на 2017 – 2021 роки та делегування членів до госпітальної ради Криворізького госпітального округу»,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7,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«Про затвердження звіту з виконання у 2017 році   заходів міської комплексної </w:t>
                  </w:r>
                  <w:r w:rsidRPr="007070C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lastRenderedPageBreak/>
                    <w:t>програми «СТОП – інфаркт» на 2016 – 2020  роки»;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7,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«Про затвердження звіту з виконання у 2017 році Програми поповнення та використання матеріального резерву для запобігання,  ліквідації надзвичайних ситуацій техногенного й природного характеру та їх наслідків у м. Кривому Розі на  2016 – 2020 роки»;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7,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«Про затвердження звіту з виконання у 2017 році Програми розвитку системи цивільного захисту в  м. Кривому Розі на  2016 – 2020 роки»;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7,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pacing w:val="-10"/>
                      <w:sz w:val="28"/>
                      <w:szCs w:val="28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"/>
                      <w:szCs w:val="2"/>
                      <w:lang w:eastAsia="ru-RU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pacing w:val="-10"/>
                      <w:sz w:val="2"/>
                      <w:szCs w:val="2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color w:val="FF0000"/>
                      <w:spacing w:val="-10"/>
                      <w:sz w:val="28"/>
                      <w:szCs w:val="28"/>
                    </w:rPr>
                    <w:t xml:space="preserve">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pacing w:val="-10"/>
                      <w:sz w:val="28"/>
                      <w:szCs w:val="28"/>
                    </w:rPr>
                    <w:t xml:space="preserve">        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3. Доручити: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         3.1.</w:t>
                  </w: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pacing w:val="-1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Управлінню екології виконкому міської ради доповнити проект рішення «Про затвердження звіту з виконання у 2017 році Міської програми вирішення екологічних проблем Кривбасу та поліпшення стану навколишнього природного середовища на 2016 – 2025 роки» пунктом щодо направлення звернення до Міністерства екології та природних ресурсів України стосовно забезпечення дотримання умов та вимог, установлених Дозволом на викиди ПАО «</w:t>
                  </w:r>
                  <w:proofErr w:type="spellStart"/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АрселорМіттал</w:t>
                  </w:r>
                  <w:proofErr w:type="spellEnd"/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Кривий Ріг» від 28.12.2016 № 121100000-38 у частині, що стосується виведення з експлуатації ДСПА-6, у зв’язку з невиконанням підприємством заходів, передбачених  </w:t>
                  </w:r>
                  <w:r w:rsidR="001132F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обласною та м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ісько</w:t>
                  </w:r>
                  <w:r w:rsidR="001132F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ю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програм</w:t>
                  </w:r>
                  <w:r w:rsidR="001132F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ами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вирішення екологічних проблем Кривбасу та поліпшення стану навколишнього природного середовища на 2016 – 2025 роки. </w:t>
                  </w: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  <w:t xml:space="preserve">  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  <w:t xml:space="preserve">        </w:t>
                  </w: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3.2.</w:t>
                  </w: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Управлінню екології виконкому міської ради</w:t>
                  </w: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підготувати  інформаційні матеріали з метою розгляду в квітні 2018 року на засіданні постійної комісії з природокористування, екології, охорони здоров’я та  соціального захисту населення питання  «Про створення аналітичного центру з контролю за станом довкілля»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3.3. Управлінню екології </w:t>
                  </w: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виконкому міської ради підготувати звернення до ПрАТ «Суха Балка» із рекомендаціями щодо прискорення та підвищення ефективності виконання робіт із рекультивації.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3.4.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 </w:t>
                  </w: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Управлінню капітального будівництва виконкому міської ради на засіданні постійної комісії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 природокористування, екології, охорони здоров’я та  соціального захисту населення питання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 лютому 2018 року доповісти про стан будівництва та реконструкції амбулаторій в місті Кривому Розі.</w:t>
                  </w: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</w:p>
                <w:p w:rsidR="007070C2" w:rsidRPr="007070C2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6"/>
                      <w:szCs w:val="6"/>
                      <w:lang w:eastAsia="ru-RU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7,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 «проти» -  0,  «утримались» - 0.</w:t>
                  </w:r>
                  <w:r w:rsidRPr="007070C2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070C2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7070C2">
                    <w:rPr>
                      <w:rFonts w:ascii="Times New Roman" w:eastAsia="Times New Roman" w:hAnsi="Times New Roman" w:cs="Times New Roman"/>
                      <w:color w:val="FF0000"/>
                      <w:spacing w:val="-2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</w:tbl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lastRenderedPageBreak/>
              <w:t xml:space="preserve">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другого питання:  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Лушпія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А.А.,</w:t>
            </w: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 заступника голови Покровської районної в місті ради з питань виконавчих органів,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моніторингові дослідження якості водних об’єктів в  Покровському районі міста та організацію виконкомом районної у місті ради охорони водойм, додержання режиму використання територій водоохоронних зон і прибережних захисних смуг;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Шатохіну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 М.С.,</w:t>
            </w: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головного спеціаліста відділу економіки та промисловості виконкому Саксаганської районної в місті ради,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моніторингові дослідження якості водних об’єктів в   Саксаганському районі міста та організацію виконкомом районної у місті ради охорони водойм, додержання режиму використання територій водоохоронних зон і прибережних захисних смуг;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Фуголь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В.О.,</w:t>
            </w: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завідуючу відділом з питань земельних відносин та будівництва виконкому Тернівської районної в місті ради,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про моніторингові дослідження якості водних об’єктів в 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Тернівському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районі міста та організацію виконкомом районної у місті ради охорони водойм, додержання режиму використання територій водоохоронних зон і прибережних захисних смуг.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</w:t>
            </w: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10"/>
                <w:szCs w:val="10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</w:t>
            </w: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"/>
                <w:szCs w:val="2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8"/>
                <w:szCs w:val="8"/>
              </w:rPr>
            </w:pPr>
            <w:r w:rsidRPr="007070C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результативну діяльність виконкому Покровської районної в місті ради щодо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охорони водойм, додержання режиму використання територій водоохоронних зон і прибережних захисних смуг, позитивний досвід щодо інформування населення із зазначеного питання;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зазначив про відсутність дієвих результатів роботи Саксаганського та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Тернівського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виконкому; </w:t>
            </w: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запропонував з метою контролю щодо здійснення виконкомами Центрально-Міської, Саксаганської,  Тернівської, Інгулецької районних у місті рад  заходів із охорони водоймищ , починаючи з лютого місяця, запрошувати щомісяця  із звітом про роботу із зазначеного питання керівників виконкомів районних у місті рад на засідання постійної комісії з питань природокористування, екології, охорони здоров’я та соціального захисту населення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необхідність ведення системної роботи щодо 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охорони водойм, додержання режиму використання територій водоохоронних зон і прибережних захисних смуг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забезпечити інформацію із зазначеного питання із вказанням  джерел забруднення,  їх адреси,  належність до відомства, виду забруднення, вжитих заходів; запропонував виконкому Тернівської районної в місті ради стосовно вирішення проблемних питань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охорони водойм, додержання режиму використання територій водоохоронних зон і прибережних захисних смуг</w:t>
            </w: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звернутися до депутатів Дніпропетровської обласної ради, які працюють на ПрАТ «Північний гірничо-збагачувальний комбінат».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6"/>
                <w:szCs w:val="6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        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1. Відзначити роботу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виконкому Покровської районної в місті ради щодо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охорони водойм, додержання режиму використання територій водоохоронних зон і прибережних захисних смуг, позитивний досвід щодо інформування населення із зазначеного питання, притягнення порушників до адміністративної відповідальності, дослідження схем водовідведення КП «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Крвибасводоканал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для виявлення потенційних загроз щодо забруднення водних об’єктів від комунального підприємства та домоволодінь.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2.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Виконкомам Саксаганської та Тернівської районних у місті рад звернути увагу на необхідність вжиття дієвих заходів щодо покращання роботи стосовно 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охорони водойм, додержання режиму використання територій водоохоронних зон і прибережних захисних смуг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lastRenderedPageBreak/>
              <w:t xml:space="preserve">         3. З метою контролю щодо здійснення виконкомами Центрально-Міської, Саксаганської,  Інгулецької , Тернівської районних у місті рад  заходів із охорони водоймищ , починаючи з лютого місяця,  запланувати  щомісяця   звіти  про роботу із зазначеного питання керівників виконкомів районних у місті рад на засідання постійної комісії з питань природокористування, екології, охорони здоров’я та соціального захисту населення.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7,  «проти» -  0,  «утримались» - 0.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color w:val="FF0000"/>
                <w:spacing w:val="-4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четвертого питання: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"/>
                <w:szCs w:val="2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8"/>
                <w:szCs w:val="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Артюха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В.М.</w:t>
            </w:r>
            <w:r w:rsidRPr="007070C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 план роботи постійної комісії </w:t>
            </w:r>
            <w:r w:rsidRPr="007070C2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з питань природокористування, екології, охорони здоров’я та соціального захисту населення на I півріччя 2018 року.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Затвердити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роботи постійної комісії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 питань природокористування, екології, охорони здоров’я та соціального захисту населення на I півріччя 2018 року.</w:t>
            </w:r>
          </w:p>
          <w:p w:rsidR="007070C2" w:rsidRPr="007070C2" w:rsidRDefault="007070C2" w:rsidP="007070C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7,  «проти» -  0, «утримались – 0.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в різному: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070C2" w:rsidRPr="007070C2" w:rsidRDefault="007070C2" w:rsidP="007070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7070C2">
              <w:rPr>
                <w:rFonts w:ascii="Courier New" w:eastAsia="Times New Roman" w:hAnsi="Courier New" w:cs="Times New Roman"/>
                <w:color w:val="FF0000"/>
                <w:sz w:val="20"/>
                <w:szCs w:val="28"/>
                <w:lang w:eastAsia="ru-RU"/>
              </w:rPr>
              <w:t xml:space="preserve"> </w:t>
            </w:r>
            <w:r w:rsidRPr="007070C2">
              <w:rPr>
                <w:rFonts w:ascii="Courier New" w:eastAsia="Calibri" w:hAnsi="Courier New" w:cs="Times New Roman"/>
                <w:spacing w:val="-6"/>
                <w:sz w:val="20"/>
                <w:szCs w:val="28"/>
                <w:lang w:eastAsia="ru-RU"/>
              </w:rPr>
              <w:t xml:space="preserve">     </w:t>
            </w:r>
            <w:r w:rsidRPr="007070C2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eastAsia="ru-RU"/>
              </w:rPr>
              <w:t xml:space="preserve">Волошину О.І.  </w:t>
            </w:r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щодо звернення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Волошиної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А.В., доньки,  стосовно недотримання лікарської етики головним лікарем  </w:t>
            </w:r>
            <w:r w:rsidRPr="007070C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обласного комунального закладу «Криворізький шкірно-венерологічний диспансер»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Кулешовим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І. В.</w:t>
            </w:r>
            <w:r w:rsidRPr="007070C2">
              <w:rPr>
                <w:rFonts w:ascii="inherit" w:eastAsia="Times New Roman" w:hAnsi="inherit" w:cs="Courier New"/>
                <w:color w:val="212121"/>
                <w:sz w:val="20"/>
                <w:szCs w:val="20"/>
                <w:lang w:eastAsia="ru-RU"/>
              </w:rPr>
              <w:t xml:space="preserve">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Петрухіна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загрози  та ризика виникнення надзвичайної ситуації, пов’язаної із збереженням хлору на об’єктах  ДП «Кривбаспромводопостачання», що орендовані КП «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без наявності відповідних дозволів, системи запобігання аварій та власного кваліфікованого персоналу, із пропозицією забезпечити посилення контролю за об’єктом на перехідний період шляхом створення відповідної тимчасової комісії під керівництвом голови управління з питань запобігання надзвичайних ситуацій та цивільного захисту населення;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про необхідність  порушувати питання перед  компетентними органами щодо заміни використання хлору на інші безпечні матеріали.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з пропозицією створити комісію для вивчення ситуації стосовно  розгляду звернення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Волошиної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А.В. головним лікарем  </w:t>
            </w:r>
            <w:r w:rsidRPr="007070C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обласного комунального закладу «Криворізький шкірно-венерологічний диспансер»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Кулешовим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І. В.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;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запропонував у лютому розглянути питання по хлору на техногенній комісії, управлінню з питань надзвичайних ситуацій та цивільного захисту населення забезпечити  нагляд за ситуацією, пов’язаною з хлором в межах вимог чинного законодавства України;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., який запропонував свою кандидатуру до складу вищезазначеної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6"/>
                <w:szCs w:val="6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Управлінню охорони здоров’я виконкому міської ради створити комісію щодо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розгляду звернення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Волошиної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А.В.,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до 10 лютого 2018 року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надати інформацію про результати роботи комісії до постійної комісії з питань природокористування, екології, охорони здоров’я та соціального захисту населення;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2.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Запропонувати до складу комісії щодо</w:t>
            </w:r>
            <w:r w:rsidRPr="007070C2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 розгляду звернення</w:t>
            </w:r>
            <w:r w:rsidRPr="007070C2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Волошиної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А.В., </w:t>
            </w:r>
            <w:r w:rsidRPr="007070C2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від постійної комісії з питань природокористування, екології, охорони здоров’я та соціального захисту населення 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Петрухіна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А.В., Фролову С.О., Шевченко Н.Г.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 З метою недопущення виникнення аварійної  ситуації, пов’язаної із збереженням хлору на  ДП «Кривбаспромводопостачання» в період зміни форми власності на підприємствах  ДП «Кривбаспромводопостачання» та  КП «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подальшою експлуатацією хімічно небезпечної речовини хлор розглянути зазначене питання на засіданні міської комісії з питань техногенної екологічної безпеки та надзвичайних ситуацій в лютому 2018 року,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4. Управлінню з питань надзвичайних ситуацій та цивільного захисту населення виконкому міської ради забезпечити  нагляд за ситуацією, пов’язаною з хлором, у межах вимог чинного законодавства України.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5. Управлінню з питань надзвичайних ситуацій проаналізувати відповіді отримані в минулому періоді щодо заміщення хлору при підготовці питної води; підгодовувати звернення щодо реалізації заходів із заміщення хлору безпечними реагентами на адресу Дніпропетровської облдержадміністрації, Міністерства регіонального розвитку, будівництва та житлово-комунального господарства України.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7,  «проти» -  0, «утримались – 0.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7070C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Н.Шевченко</w:t>
            </w:r>
            <w:proofErr w:type="spellEnd"/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691B57" w:rsidRDefault="00747D41"/>
    <w:sectPr w:rsidR="00691B57" w:rsidSect="007070C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C2" w:rsidRDefault="007070C2" w:rsidP="007070C2">
      <w:pPr>
        <w:spacing w:after="0" w:line="240" w:lineRule="auto"/>
      </w:pPr>
      <w:r>
        <w:separator/>
      </w:r>
    </w:p>
  </w:endnote>
  <w:endnote w:type="continuationSeparator" w:id="0">
    <w:p w:rsidR="007070C2" w:rsidRDefault="007070C2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C2" w:rsidRDefault="007070C2" w:rsidP="007070C2">
      <w:pPr>
        <w:spacing w:after="0" w:line="240" w:lineRule="auto"/>
      </w:pPr>
      <w:r>
        <w:separator/>
      </w:r>
    </w:p>
  </w:footnote>
  <w:footnote w:type="continuationSeparator" w:id="0">
    <w:p w:rsidR="007070C2" w:rsidRDefault="007070C2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7070C2" w:rsidRDefault="007070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888" w:rsidRPr="00EB2888">
          <w:rPr>
            <w:noProof/>
            <w:lang w:val="ru-RU"/>
          </w:rPr>
          <w:t>6</w:t>
        </w:r>
        <w:r>
          <w:fldChar w:fldCharType="end"/>
        </w:r>
      </w:p>
    </w:sdtContent>
  </w:sdt>
  <w:p w:rsidR="007070C2" w:rsidRDefault="007070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1794C"/>
    <w:rsid w:val="001132F6"/>
    <w:rsid w:val="0018335B"/>
    <w:rsid w:val="002F1DAD"/>
    <w:rsid w:val="004517EC"/>
    <w:rsid w:val="00482A5F"/>
    <w:rsid w:val="004E5AE5"/>
    <w:rsid w:val="00507D16"/>
    <w:rsid w:val="00610201"/>
    <w:rsid w:val="007070C2"/>
    <w:rsid w:val="00872A77"/>
    <w:rsid w:val="00E353B1"/>
    <w:rsid w:val="00E55441"/>
    <w:rsid w:val="00EB04A6"/>
    <w:rsid w:val="00EB2888"/>
    <w:rsid w:val="00FC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4</cp:revision>
  <dcterms:created xsi:type="dcterms:W3CDTF">2018-01-31T08:25:00Z</dcterms:created>
  <dcterms:modified xsi:type="dcterms:W3CDTF">2018-01-31T13:35:00Z</dcterms:modified>
</cp:coreProperties>
</file>