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7A5CB" w14:textId="77777777" w:rsidR="00E4278C" w:rsidRPr="00E95C9C" w:rsidRDefault="00E4278C" w:rsidP="00E4278C">
      <w:pPr>
        <w:spacing w:after="0" w:line="360" w:lineRule="auto"/>
        <w:ind w:left="4821" w:firstLine="708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E95C9C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ЗАТВЕРДЖЕНО</w:t>
      </w:r>
    </w:p>
    <w:p w14:paraId="49B024C0" w14:textId="77777777" w:rsidR="00E4278C" w:rsidRPr="00E95C9C" w:rsidRDefault="00E4278C" w:rsidP="00E4278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E95C9C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Рішення виконкому міської ради</w:t>
      </w:r>
    </w:p>
    <w:p w14:paraId="3507DE9A" w14:textId="18ED3EBE" w:rsidR="00E4278C" w:rsidRPr="00E95C9C" w:rsidRDefault="00FB1B80" w:rsidP="00FB1B80">
      <w:pPr>
        <w:tabs>
          <w:tab w:val="left" w:pos="5550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5C9C">
        <w:rPr>
          <w:rFonts w:ascii="Times New Roman" w:eastAsia="Times New Roman" w:hAnsi="Times New Roman" w:cs="Times New Roman"/>
          <w:sz w:val="28"/>
          <w:szCs w:val="28"/>
        </w:rPr>
        <w:tab/>
      </w:r>
      <w:r w:rsidRPr="00E95C9C">
        <w:rPr>
          <w:rFonts w:ascii="Times New Roman" w:eastAsia="Times New Roman" w:hAnsi="Times New Roman" w:cs="Times New Roman"/>
          <w:i/>
          <w:sz w:val="28"/>
          <w:szCs w:val="28"/>
        </w:rPr>
        <w:t>22.08.2025 №991</w:t>
      </w:r>
    </w:p>
    <w:p w14:paraId="3D29319F" w14:textId="77777777" w:rsidR="00FD1AB1" w:rsidRPr="00E95C9C" w:rsidRDefault="00FD1AB1" w:rsidP="008941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596FDF" w14:textId="5406489D" w:rsidR="006B3D32" w:rsidRPr="00E95C9C" w:rsidRDefault="006B3D32" w:rsidP="008941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5C9C">
        <w:rPr>
          <w:rFonts w:ascii="Times New Roman" w:eastAsia="Times New Roman" w:hAnsi="Times New Roman" w:cs="Times New Roman"/>
          <w:b/>
          <w:i/>
          <w:sz w:val="28"/>
          <w:szCs w:val="28"/>
        </w:rPr>
        <w:t>Середньостроковий план</w:t>
      </w:r>
    </w:p>
    <w:p w14:paraId="3F259740" w14:textId="7E54398D" w:rsidR="006B3D32" w:rsidRPr="00E95C9C" w:rsidRDefault="006B3D32" w:rsidP="008941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5C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пріоритетних публічних інвестицій Криворізької міської територіальної громади на </w:t>
      </w:r>
      <w:r w:rsidR="00E4278C" w:rsidRPr="00E95C9C">
        <w:rPr>
          <w:rFonts w:ascii="Times New Roman" w:eastAsia="Times New Roman" w:hAnsi="Times New Roman" w:cs="Times New Roman"/>
          <w:b/>
          <w:i/>
          <w:sz w:val="28"/>
          <w:szCs w:val="28"/>
        </w:rPr>
        <w:t>2026</w:t>
      </w:r>
      <w:r w:rsidR="00E4278C" w:rsidRPr="00E95C9C">
        <w:rPr>
          <w:rFonts w:ascii="Times New Roman" w:hAnsi="Times New Roman" w:cs="Times New Roman"/>
          <w:b/>
          <w:sz w:val="28"/>
          <w:szCs w:val="28"/>
        </w:rPr>
        <w:t>–</w:t>
      </w:r>
      <w:r w:rsidRPr="00E95C9C">
        <w:rPr>
          <w:rFonts w:ascii="Times New Roman" w:eastAsia="Times New Roman" w:hAnsi="Times New Roman" w:cs="Times New Roman"/>
          <w:b/>
          <w:i/>
          <w:sz w:val="28"/>
          <w:szCs w:val="28"/>
        </w:rPr>
        <w:t>2028 роки</w:t>
      </w:r>
    </w:p>
    <w:p w14:paraId="202858E7" w14:textId="77777777" w:rsidR="006B3D32" w:rsidRPr="00E95C9C" w:rsidRDefault="006B3D32" w:rsidP="008941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EFBCF4" w14:textId="77777777" w:rsidR="00BA4574" w:rsidRPr="00E95C9C" w:rsidRDefault="00BA4574" w:rsidP="008941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E769EA" w14:textId="65A4D798" w:rsidR="006B3D32" w:rsidRPr="00E95C9C" w:rsidRDefault="006B3D32" w:rsidP="008941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5C9C">
        <w:rPr>
          <w:rFonts w:ascii="Times New Roman" w:eastAsia="Times New Roman" w:hAnsi="Times New Roman" w:cs="Times New Roman"/>
          <w:b/>
          <w:i/>
          <w:sz w:val="28"/>
          <w:szCs w:val="28"/>
        </w:rPr>
        <w:t>Загальна частина</w:t>
      </w:r>
    </w:p>
    <w:p w14:paraId="7310AA12" w14:textId="77777777" w:rsidR="006B3D32" w:rsidRPr="00E95C9C" w:rsidRDefault="006B3D32" w:rsidP="008941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06C1DD" w14:textId="4C9878CE" w:rsidR="006B3D32" w:rsidRPr="00E95C9C" w:rsidRDefault="006B3D32" w:rsidP="006250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5C9C">
        <w:rPr>
          <w:rFonts w:ascii="Times New Roman" w:hAnsi="Times New Roman" w:cs="Times New Roman"/>
          <w:sz w:val="28"/>
          <w:szCs w:val="28"/>
        </w:rPr>
        <w:t xml:space="preserve">Середньостроковий план пріоритетних публічних інвестицій </w:t>
      </w:r>
      <w:proofErr w:type="spellStart"/>
      <w:r w:rsidRPr="00E95C9C">
        <w:rPr>
          <w:rFonts w:ascii="Times New Roman" w:hAnsi="Times New Roman" w:cs="Times New Roman"/>
          <w:sz w:val="28"/>
          <w:szCs w:val="28"/>
        </w:rPr>
        <w:t>Криворізь</w:t>
      </w:r>
      <w:r w:rsidR="00E4278C" w:rsidRPr="00E95C9C">
        <w:rPr>
          <w:rFonts w:ascii="Times New Roman" w:hAnsi="Times New Roman" w:cs="Times New Roman"/>
          <w:sz w:val="28"/>
          <w:szCs w:val="28"/>
        </w:rPr>
        <w:t>-</w:t>
      </w:r>
      <w:r w:rsidRPr="00E95C9C">
        <w:rPr>
          <w:rFonts w:ascii="Times New Roman" w:hAnsi="Times New Roman" w:cs="Times New Roman"/>
          <w:sz w:val="28"/>
          <w:szCs w:val="28"/>
        </w:rPr>
        <w:t>кої</w:t>
      </w:r>
      <w:proofErr w:type="spellEnd"/>
      <w:r w:rsidRPr="00E95C9C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</w:t>
      </w:r>
      <w:r w:rsidR="00E4278C" w:rsidRPr="00E95C9C">
        <w:rPr>
          <w:rFonts w:ascii="Times New Roman" w:hAnsi="Times New Roman" w:cs="Times New Roman"/>
          <w:sz w:val="28"/>
          <w:szCs w:val="28"/>
        </w:rPr>
        <w:t>2026–</w:t>
      </w:r>
      <w:r w:rsidR="003F7BC8" w:rsidRPr="00E95C9C">
        <w:rPr>
          <w:rFonts w:ascii="Times New Roman" w:hAnsi="Times New Roman" w:cs="Times New Roman"/>
          <w:sz w:val="28"/>
          <w:szCs w:val="28"/>
        </w:rPr>
        <w:t xml:space="preserve">2028 роки </w:t>
      </w:r>
      <w:r w:rsidRPr="00E95C9C">
        <w:rPr>
          <w:rFonts w:ascii="Times New Roman" w:hAnsi="Times New Roman" w:cs="Times New Roman"/>
          <w:sz w:val="28"/>
          <w:szCs w:val="28"/>
        </w:rPr>
        <w:t>(</w:t>
      </w:r>
      <w:r w:rsidR="00E4278C" w:rsidRPr="00E95C9C">
        <w:rPr>
          <w:rFonts w:ascii="Times New Roman" w:hAnsi="Times New Roman" w:cs="Times New Roman"/>
          <w:sz w:val="28"/>
          <w:szCs w:val="28"/>
        </w:rPr>
        <w:t>на</w:t>
      </w:r>
      <w:r w:rsidRPr="00E95C9C">
        <w:rPr>
          <w:rFonts w:ascii="Times New Roman" w:hAnsi="Times New Roman" w:cs="Times New Roman"/>
          <w:sz w:val="28"/>
          <w:szCs w:val="28"/>
        </w:rPr>
        <w:t xml:space="preserve">далі — СПППІ </w:t>
      </w:r>
      <w:r w:rsidR="00B17586" w:rsidRPr="00E95C9C">
        <w:rPr>
          <w:rFonts w:ascii="Times New Roman" w:hAnsi="Times New Roman" w:cs="Times New Roman"/>
          <w:sz w:val="28"/>
          <w:szCs w:val="28"/>
        </w:rPr>
        <w:t>громади</w:t>
      </w:r>
      <w:r w:rsidRPr="00E95C9C">
        <w:rPr>
          <w:rFonts w:ascii="Times New Roman" w:hAnsi="Times New Roman" w:cs="Times New Roman"/>
          <w:sz w:val="28"/>
          <w:szCs w:val="28"/>
        </w:rPr>
        <w:t xml:space="preserve">) розроблено </w:t>
      </w:r>
      <w:r w:rsidR="0088041B" w:rsidRPr="00E95C9C">
        <w:rPr>
          <w:rFonts w:ascii="Times New Roman" w:hAnsi="Times New Roman" w:cs="Times New Roman"/>
          <w:sz w:val="28"/>
          <w:szCs w:val="28"/>
        </w:rPr>
        <w:t>з урахуванням першої частини статті 33</w:t>
      </w:r>
      <w:r w:rsidR="0088041B" w:rsidRPr="00E95C9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8041B" w:rsidRPr="00E95C9C">
        <w:rPr>
          <w:rFonts w:ascii="Times New Roman" w:hAnsi="Times New Roman" w:cs="Times New Roman"/>
          <w:sz w:val="28"/>
          <w:szCs w:val="28"/>
        </w:rPr>
        <w:t xml:space="preserve"> та статт</w:t>
      </w:r>
      <w:r w:rsidR="00BA4574" w:rsidRPr="00E95C9C">
        <w:rPr>
          <w:rFonts w:ascii="Times New Roman" w:hAnsi="Times New Roman" w:cs="Times New Roman"/>
          <w:sz w:val="28"/>
          <w:szCs w:val="28"/>
        </w:rPr>
        <w:t>і</w:t>
      </w:r>
      <w:r w:rsidR="0088041B" w:rsidRPr="00E95C9C">
        <w:rPr>
          <w:rFonts w:ascii="Times New Roman" w:hAnsi="Times New Roman" w:cs="Times New Roman"/>
          <w:sz w:val="28"/>
          <w:szCs w:val="28"/>
        </w:rPr>
        <w:t xml:space="preserve"> 75</w:t>
      </w:r>
      <w:r w:rsidR="0088041B" w:rsidRPr="00E95C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8041B" w:rsidRPr="00E95C9C">
        <w:rPr>
          <w:rFonts w:ascii="Times New Roman" w:hAnsi="Times New Roman" w:cs="Times New Roman"/>
          <w:sz w:val="28"/>
          <w:szCs w:val="28"/>
        </w:rPr>
        <w:t xml:space="preserve"> </w:t>
      </w:r>
      <w:r w:rsidRPr="00E95C9C">
        <w:rPr>
          <w:rFonts w:ascii="Times New Roman" w:hAnsi="Times New Roman" w:cs="Times New Roman"/>
          <w:sz w:val="28"/>
          <w:szCs w:val="28"/>
        </w:rPr>
        <w:t>Бюджетного кодексу України</w:t>
      </w:r>
      <w:r w:rsidR="00220D5C" w:rsidRPr="00E95C9C">
        <w:rPr>
          <w:rFonts w:ascii="Times New Roman" w:hAnsi="Times New Roman" w:cs="Times New Roman"/>
          <w:sz w:val="28"/>
          <w:szCs w:val="28"/>
        </w:rPr>
        <w:t>,</w:t>
      </w:r>
      <w:r w:rsidRPr="00E95C9C">
        <w:rPr>
          <w:rFonts w:ascii="Times New Roman" w:hAnsi="Times New Roman" w:cs="Times New Roman"/>
          <w:sz w:val="28"/>
          <w:szCs w:val="28"/>
        </w:rPr>
        <w:t xml:space="preserve"> Порядку розроблення </w:t>
      </w:r>
      <w:r w:rsidR="00220D5C" w:rsidRPr="00E95C9C">
        <w:rPr>
          <w:rFonts w:ascii="Times New Roman" w:hAnsi="Times New Roman" w:cs="Times New Roman"/>
          <w:sz w:val="28"/>
          <w:szCs w:val="28"/>
        </w:rPr>
        <w:t>та</w:t>
      </w:r>
      <w:r w:rsidRPr="00E95C9C">
        <w:rPr>
          <w:rFonts w:ascii="Times New Roman" w:hAnsi="Times New Roman" w:cs="Times New Roman"/>
          <w:sz w:val="28"/>
          <w:szCs w:val="28"/>
        </w:rPr>
        <w:t xml:space="preserve"> моніторингу реалізації середньострокового плану пріоритетних публічних інвестицій</w:t>
      </w:r>
      <w:r w:rsidR="00220D5C" w:rsidRPr="00E95C9C">
        <w:rPr>
          <w:rFonts w:ascii="Times New Roman" w:hAnsi="Times New Roman" w:cs="Times New Roman"/>
          <w:sz w:val="28"/>
          <w:szCs w:val="28"/>
        </w:rPr>
        <w:t xml:space="preserve"> держави</w:t>
      </w:r>
      <w:r w:rsidR="003F7BC8" w:rsidRPr="00E95C9C">
        <w:rPr>
          <w:rFonts w:ascii="Times New Roman" w:hAnsi="Times New Roman" w:cs="Times New Roman"/>
          <w:sz w:val="28"/>
          <w:szCs w:val="28"/>
        </w:rPr>
        <w:t>,</w:t>
      </w:r>
      <w:r w:rsidR="0088041B" w:rsidRPr="00E95C9C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 України від 28 лютого 2025 року №294</w:t>
      </w:r>
      <w:r w:rsidRPr="00E95C9C">
        <w:rPr>
          <w:rFonts w:ascii="Times New Roman" w:hAnsi="Times New Roman" w:cs="Times New Roman"/>
          <w:sz w:val="28"/>
          <w:szCs w:val="28"/>
        </w:rPr>
        <w:t>, Середньострокового плану пріоритетних публічних інвестицій держави на 2026–2028 роки (</w:t>
      </w:r>
      <w:r w:rsidR="00E4278C" w:rsidRPr="00E95C9C">
        <w:rPr>
          <w:rFonts w:ascii="Times New Roman" w:hAnsi="Times New Roman" w:cs="Times New Roman"/>
          <w:sz w:val="28"/>
          <w:szCs w:val="28"/>
        </w:rPr>
        <w:t>на</w:t>
      </w:r>
      <w:r w:rsidRPr="00E95C9C">
        <w:rPr>
          <w:rFonts w:ascii="Times New Roman" w:hAnsi="Times New Roman" w:cs="Times New Roman"/>
          <w:sz w:val="28"/>
          <w:szCs w:val="28"/>
        </w:rPr>
        <w:t>далі — СПППІ держави)</w:t>
      </w:r>
      <w:r w:rsidR="008E5C77" w:rsidRPr="00E95C9C">
        <w:rPr>
          <w:rFonts w:ascii="Times New Roman" w:hAnsi="Times New Roman" w:cs="Times New Roman"/>
          <w:sz w:val="28"/>
          <w:szCs w:val="28"/>
        </w:rPr>
        <w:t>,</w:t>
      </w:r>
      <w:r w:rsidR="0088041B" w:rsidRPr="00E95C9C">
        <w:rPr>
          <w:rFonts w:ascii="Times New Roman" w:hAnsi="Times New Roman" w:cs="Times New Roman"/>
          <w:sz w:val="28"/>
          <w:szCs w:val="28"/>
        </w:rPr>
        <w:t xml:space="preserve"> затвердженого Розпорядженням Кабінету Міністрів України від </w:t>
      </w:r>
      <w:r w:rsidR="00FD1AB1" w:rsidRPr="00E95C9C">
        <w:rPr>
          <w:rFonts w:ascii="Times New Roman" w:hAnsi="Times New Roman" w:cs="Times New Roman"/>
          <w:sz w:val="28"/>
          <w:szCs w:val="28"/>
        </w:rPr>
        <w:t>0</w:t>
      </w:r>
      <w:r w:rsidR="0088041B" w:rsidRPr="00E95C9C">
        <w:rPr>
          <w:rFonts w:ascii="Times New Roman" w:hAnsi="Times New Roman" w:cs="Times New Roman"/>
          <w:sz w:val="28"/>
          <w:szCs w:val="28"/>
        </w:rPr>
        <w:t>2 липня 2025 року №671-р</w:t>
      </w:r>
      <w:r w:rsidR="00D75634" w:rsidRPr="00E95C9C">
        <w:rPr>
          <w:rFonts w:ascii="Times New Roman" w:hAnsi="Times New Roman" w:cs="Times New Roman"/>
          <w:sz w:val="28"/>
          <w:szCs w:val="28"/>
        </w:rPr>
        <w:t xml:space="preserve">, відповідно до Стратегії розвитку Криворізької міської територіальної громади на період до </w:t>
      </w:r>
      <w:r w:rsidR="00F33E38" w:rsidRPr="00E95C9C">
        <w:rPr>
          <w:rFonts w:ascii="Times New Roman" w:hAnsi="Times New Roman" w:cs="Times New Roman"/>
          <w:sz w:val="28"/>
          <w:szCs w:val="28"/>
        </w:rPr>
        <w:t>2030</w:t>
      </w:r>
      <w:r w:rsidR="00D75634" w:rsidRPr="00E95C9C">
        <w:rPr>
          <w:rFonts w:ascii="Times New Roman" w:hAnsi="Times New Roman" w:cs="Times New Roman"/>
          <w:sz w:val="28"/>
          <w:szCs w:val="28"/>
        </w:rPr>
        <w:t xml:space="preserve"> року</w:t>
      </w:r>
      <w:r w:rsidR="008625C3" w:rsidRPr="00E95C9C">
        <w:rPr>
          <w:rFonts w:ascii="Times New Roman" w:hAnsi="Times New Roman" w:cs="Times New Roman"/>
          <w:sz w:val="28"/>
          <w:szCs w:val="28"/>
        </w:rPr>
        <w:t>, затвердже</w:t>
      </w:r>
      <w:r w:rsidR="00F33E38" w:rsidRPr="00E95C9C">
        <w:rPr>
          <w:rFonts w:ascii="Times New Roman" w:hAnsi="Times New Roman" w:cs="Times New Roman"/>
          <w:sz w:val="28"/>
          <w:szCs w:val="28"/>
        </w:rPr>
        <w:t>ної</w:t>
      </w:r>
      <w:r w:rsidR="008625C3" w:rsidRPr="00E95C9C">
        <w:rPr>
          <w:rFonts w:ascii="Times New Roman" w:hAnsi="Times New Roman" w:cs="Times New Roman"/>
          <w:sz w:val="28"/>
          <w:szCs w:val="28"/>
        </w:rPr>
        <w:t xml:space="preserve"> рішенням Криворізької міської ради від </w:t>
      </w:r>
      <w:r w:rsidR="00393288" w:rsidRPr="00E95C9C">
        <w:rPr>
          <w:rFonts w:ascii="Times New Roman" w:hAnsi="Times New Roman" w:cs="Times New Roman"/>
          <w:sz w:val="28"/>
          <w:szCs w:val="28"/>
        </w:rPr>
        <w:t>30</w:t>
      </w:r>
      <w:r w:rsidR="008E5C77" w:rsidRPr="00E95C9C">
        <w:rPr>
          <w:rFonts w:ascii="Times New Roman" w:hAnsi="Times New Roman" w:cs="Times New Roman"/>
          <w:sz w:val="28"/>
          <w:szCs w:val="28"/>
        </w:rPr>
        <w:t>.07.</w:t>
      </w:r>
      <w:r w:rsidR="00393288" w:rsidRPr="00E95C9C">
        <w:rPr>
          <w:rFonts w:ascii="Times New Roman" w:hAnsi="Times New Roman" w:cs="Times New Roman"/>
          <w:sz w:val="28"/>
          <w:szCs w:val="28"/>
        </w:rPr>
        <w:t>2025</w:t>
      </w:r>
      <w:r w:rsidR="008625C3" w:rsidRPr="00E95C9C">
        <w:rPr>
          <w:rFonts w:ascii="Times New Roman" w:hAnsi="Times New Roman" w:cs="Times New Roman"/>
          <w:sz w:val="28"/>
          <w:szCs w:val="28"/>
        </w:rPr>
        <w:t xml:space="preserve"> №</w:t>
      </w:r>
      <w:r w:rsidR="00393288" w:rsidRPr="00E95C9C">
        <w:rPr>
          <w:rFonts w:ascii="Times New Roman" w:hAnsi="Times New Roman" w:cs="Times New Roman"/>
          <w:sz w:val="28"/>
          <w:szCs w:val="28"/>
        </w:rPr>
        <w:t>3819</w:t>
      </w:r>
      <w:r w:rsidR="008625C3" w:rsidRPr="00E95C9C">
        <w:rPr>
          <w:rFonts w:ascii="Times New Roman" w:hAnsi="Times New Roman" w:cs="Times New Roman"/>
          <w:sz w:val="28"/>
          <w:szCs w:val="28"/>
        </w:rPr>
        <w:t xml:space="preserve"> (надалі – Стратегія розвитку</w:t>
      </w:r>
      <w:r w:rsidR="0022113D" w:rsidRPr="00E95C9C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="008625C3" w:rsidRPr="00E95C9C">
        <w:rPr>
          <w:rFonts w:ascii="Times New Roman" w:hAnsi="Times New Roman" w:cs="Times New Roman"/>
          <w:sz w:val="28"/>
          <w:szCs w:val="28"/>
        </w:rPr>
        <w:t>)</w:t>
      </w:r>
      <w:r w:rsidR="00D75634" w:rsidRPr="00E95C9C">
        <w:rPr>
          <w:rFonts w:ascii="Times New Roman" w:hAnsi="Times New Roman" w:cs="Times New Roman"/>
          <w:sz w:val="28"/>
          <w:szCs w:val="28"/>
        </w:rPr>
        <w:t>.</w:t>
      </w:r>
    </w:p>
    <w:p w14:paraId="36C2356D" w14:textId="5A84CE40" w:rsidR="00B53B95" w:rsidRPr="00E95C9C" w:rsidRDefault="00B53B95" w:rsidP="0062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C9C">
        <w:rPr>
          <w:rFonts w:ascii="Times New Roman" w:hAnsi="Times New Roman" w:cs="Times New Roman"/>
          <w:sz w:val="28"/>
          <w:szCs w:val="28"/>
        </w:rPr>
        <w:t xml:space="preserve">Метою розроблення СПППІ </w:t>
      </w:r>
      <w:r w:rsidR="00B17586" w:rsidRPr="00E95C9C">
        <w:rPr>
          <w:rFonts w:ascii="Times New Roman" w:hAnsi="Times New Roman" w:cs="Times New Roman"/>
          <w:sz w:val="28"/>
          <w:szCs w:val="28"/>
        </w:rPr>
        <w:t>громади</w:t>
      </w:r>
      <w:r w:rsidRPr="00E95C9C">
        <w:rPr>
          <w:rFonts w:ascii="Times New Roman" w:hAnsi="Times New Roman" w:cs="Times New Roman"/>
          <w:sz w:val="28"/>
          <w:szCs w:val="28"/>
        </w:rPr>
        <w:t xml:space="preserve"> є </w:t>
      </w:r>
      <w:r w:rsidR="00DD5022" w:rsidRPr="00E95C9C">
        <w:rPr>
          <w:rFonts w:ascii="Times New Roman" w:hAnsi="Times New Roman" w:cs="Times New Roman"/>
          <w:sz w:val="28"/>
          <w:szCs w:val="28"/>
        </w:rPr>
        <w:t>забезпечення</w:t>
      </w:r>
      <w:r w:rsidR="009839A0" w:rsidRPr="00E95C9C">
        <w:rPr>
          <w:rFonts w:ascii="Times New Roman" w:hAnsi="Times New Roman" w:cs="Times New Roman"/>
          <w:sz w:val="28"/>
          <w:szCs w:val="28"/>
        </w:rPr>
        <w:t xml:space="preserve"> більш</w:t>
      </w:r>
      <w:r w:rsidR="00DD5022" w:rsidRPr="00E95C9C">
        <w:rPr>
          <w:rFonts w:ascii="Times New Roman" w:hAnsi="Times New Roman" w:cs="Times New Roman"/>
          <w:sz w:val="28"/>
          <w:szCs w:val="28"/>
        </w:rPr>
        <w:t xml:space="preserve"> ефективного використання бюджетних коштів</w:t>
      </w:r>
      <w:r w:rsidR="00C137E0" w:rsidRPr="00E95C9C">
        <w:rPr>
          <w:rFonts w:ascii="Times New Roman" w:hAnsi="Times New Roman" w:cs="Times New Roman"/>
          <w:sz w:val="28"/>
          <w:szCs w:val="28"/>
        </w:rPr>
        <w:t xml:space="preserve">, </w:t>
      </w:r>
      <w:r w:rsidRPr="00E95C9C">
        <w:rPr>
          <w:rFonts w:ascii="Times New Roman" w:hAnsi="Times New Roman" w:cs="Times New Roman"/>
          <w:sz w:val="28"/>
          <w:szCs w:val="28"/>
        </w:rPr>
        <w:t xml:space="preserve">акумулювання фінансових ресурсів на реалізацію публічних інвестиційних </w:t>
      </w:r>
      <w:proofErr w:type="spellStart"/>
      <w:r w:rsidRPr="00E95C9C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95C9C">
        <w:rPr>
          <w:rFonts w:ascii="Times New Roman" w:hAnsi="Times New Roman" w:cs="Times New Roman"/>
          <w:sz w:val="28"/>
          <w:szCs w:val="28"/>
        </w:rPr>
        <w:t xml:space="preserve"> і програм, що відповідають</w:t>
      </w:r>
      <w:r w:rsidRPr="00E95C9C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E95C9C">
        <w:rPr>
          <w:rFonts w:ascii="Times New Roman" w:hAnsi="Times New Roman" w:cs="Times New Roman"/>
          <w:sz w:val="28"/>
          <w:szCs w:val="28"/>
        </w:rPr>
        <w:t xml:space="preserve">стратегічним цілям розвитку </w:t>
      </w:r>
      <w:r w:rsidR="008941AC" w:rsidRPr="00E95C9C">
        <w:rPr>
          <w:rFonts w:ascii="Times New Roman" w:hAnsi="Times New Roman" w:cs="Times New Roman"/>
          <w:sz w:val="28"/>
          <w:szCs w:val="28"/>
        </w:rPr>
        <w:t xml:space="preserve">Криворізької міської територіальної </w:t>
      </w:r>
      <w:r w:rsidRPr="00E95C9C">
        <w:rPr>
          <w:rFonts w:ascii="Times New Roman" w:hAnsi="Times New Roman" w:cs="Times New Roman"/>
          <w:sz w:val="28"/>
          <w:szCs w:val="28"/>
        </w:rPr>
        <w:t>громади</w:t>
      </w:r>
      <w:r w:rsidR="008941AC" w:rsidRPr="00E95C9C">
        <w:rPr>
          <w:rFonts w:ascii="Times New Roman" w:hAnsi="Times New Roman" w:cs="Times New Roman"/>
          <w:sz w:val="28"/>
          <w:szCs w:val="28"/>
        </w:rPr>
        <w:t xml:space="preserve"> (надалі – громада)</w:t>
      </w:r>
      <w:r w:rsidRPr="00E95C9C">
        <w:rPr>
          <w:rFonts w:ascii="Times New Roman" w:hAnsi="Times New Roman" w:cs="Times New Roman"/>
          <w:sz w:val="28"/>
          <w:szCs w:val="28"/>
        </w:rPr>
        <w:t>, державним пріоритетам та вимогам середньострокового бюджетного планування, для підвищення ефективності, прозорості та результативності використання публічних коштів.</w:t>
      </w:r>
    </w:p>
    <w:p w14:paraId="4D03B2F1" w14:textId="06D7FD71" w:rsidR="00D30FEA" w:rsidRPr="00E95C9C" w:rsidRDefault="00D30FEA" w:rsidP="0062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C9C">
        <w:rPr>
          <w:rFonts w:ascii="Times New Roman" w:hAnsi="Times New Roman" w:cs="Times New Roman"/>
          <w:sz w:val="28"/>
          <w:szCs w:val="28"/>
        </w:rPr>
        <w:t xml:space="preserve">СПППІ </w:t>
      </w:r>
      <w:r w:rsidR="00B17586" w:rsidRPr="00E95C9C">
        <w:rPr>
          <w:rFonts w:ascii="Times New Roman" w:hAnsi="Times New Roman" w:cs="Times New Roman"/>
          <w:sz w:val="28"/>
          <w:szCs w:val="28"/>
        </w:rPr>
        <w:t>громади</w:t>
      </w:r>
      <w:r w:rsidRPr="00E95C9C">
        <w:rPr>
          <w:rFonts w:ascii="Times New Roman" w:hAnsi="Times New Roman" w:cs="Times New Roman"/>
          <w:sz w:val="28"/>
          <w:szCs w:val="28"/>
        </w:rPr>
        <w:t xml:space="preserve"> визначає:</w:t>
      </w:r>
    </w:p>
    <w:p w14:paraId="21F4B65F" w14:textId="67F35FDE" w:rsidR="00D30FEA" w:rsidRPr="00E95C9C" w:rsidRDefault="00D30FEA" w:rsidP="0062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C9C">
        <w:rPr>
          <w:rFonts w:ascii="Times New Roman" w:hAnsi="Times New Roman" w:cs="Times New Roman"/>
          <w:sz w:val="28"/>
          <w:szCs w:val="28"/>
        </w:rPr>
        <w:t>наскрізні стратегічні цілі здійснення публічних інвестицій;</w:t>
      </w:r>
    </w:p>
    <w:p w14:paraId="440526CA" w14:textId="4D178DC7" w:rsidR="00D30FEA" w:rsidRPr="00E95C9C" w:rsidRDefault="00D30FEA" w:rsidP="0062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C9C">
        <w:rPr>
          <w:rFonts w:ascii="Times New Roman" w:hAnsi="Times New Roman" w:cs="Times New Roman"/>
          <w:sz w:val="28"/>
          <w:szCs w:val="28"/>
        </w:rPr>
        <w:t>пріоритетні галузі (сектори) для публічного інвестування;</w:t>
      </w:r>
    </w:p>
    <w:p w14:paraId="14ADE9C7" w14:textId="4BAC1997" w:rsidR="00D30FEA" w:rsidRPr="00E95C9C" w:rsidRDefault="00D30FEA" w:rsidP="0062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C9C">
        <w:rPr>
          <w:rFonts w:ascii="Times New Roman" w:hAnsi="Times New Roman" w:cs="Times New Roman"/>
          <w:sz w:val="28"/>
          <w:szCs w:val="28"/>
        </w:rPr>
        <w:t>підсектори</w:t>
      </w:r>
      <w:proofErr w:type="spellEnd"/>
      <w:r w:rsidRPr="00E95C9C">
        <w:rPr>
          <w:rFonts w:ascii="Times New Roman" w:hAnsi="Times New Roman" w:cs="Times New Roman"/>
          <w:sz w:val="28"/>
          <w:szCs w:val="28"/>
        </w:rPr>
        <w:t xml:space="preserve"> галузей (секторів) для публічного інвестування;</w:t>
      </w:r>
    </w:p>
    <w:p w14:paraId="6EEE3B53" w14:textId="3EB22C4F" w:rsidR="00D30FEA" w:rsidRPr="00E95C9C" w:rsidRDefault="00D30FEA" w:rsidP="0062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C9C">
        <w:rPr>
          <w:rFonts w:ascii="Times New Roman" w:hAnsi="Times New Roman" w:cs="Times New Roman"/>
          <w:sz w:val="28"/>
          <w:szCs w:val="28"/>
        </w:rPr>
        <w:t>основні напрями публічного інвестування</w:t>
      </w:r>
      <w:r w:rsidR="00BA4574" w:rsidRPr="00E95C9C">
        <w:rPr>
          <w:rFonts w:ascii="Times New Roman" w:hAnsi="Times New Roman" w:cs="Times New Roman"/>
          <w:sz w:val="28"/>
          <w:szCs w:val="28"/>
        </w:rPr>
        <w:t xml:space="preserve"> та їх цільові показники</w:t>
      </w:r>
      <w:r w:rsidR="00FA689D" w:rsidRPr="00E95C9C">
        <w:rPr>
          <w:rFonts w:ascii="Times New Roman" w:hAnsi="Times New Roman" w:cs="Times New Roman"/>
          <w:sz w:val="28"/>
          <w:szCs w:val="28"/>
        </w:rPr>
        <w:t>;</w:t>
      </w:r>
    </w:p>
    <w:p w14:paraId="4466DCA8" w14:textId="5926FB3C" w:rsidR="00D30FEA" w:rsidRPr="00E95C9C" w:rsidRDefault="00FA689D" w:rsidP="0062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C9C">
        <w:rPr>
          <w:rFonts w:ascii="Times New Roman" w:hAnsi="Times New Roman" w:cs="Times New Roman"/>
          <w:sz w:val="28"/>
          <w:szCs w:val="28"/>
        </w:rPr>
        <w:t>о</w:t>
      </w:r>
      <w:r w:rsidR="00D30FEA" w:rsidRPr="00E95C9C">
        <w:rPr>
          <w:rFonts w:ascii="Times New Roman" w:hAnsi="Times New Roman" w:cs="Times New Roman"/>
          <w:sz w:val="28"/>
          <w:szCs w:val="28"/>
        </w:rPr>
        <w:t>рієнтовний граничний сукупний обсяг публічних інвестицій на середньостроковий період</w:t>
      </w:r>
      <w:r w:rsidRPr="00E95C9C">
        <w:rPr>
          <w:rFonts w:ascii="Times New Roman" w:hAnsi="Times New Roman" w:cs="Times New Roman"/>
          <w:sz w:val="28"/>
          <w:szCs w:val="28"/>
        </w:rPr>
        <w:t>.</w:t>
      </w:r>
    </w:p>
    <w:p w14:paraId="3FCB0024" w14:textId="77777777" w:rsidR="00FA689D" w:rsidRPr="00E95C9C" w:rsidRDefault="00FA689D" w:rsidP="006250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E5F399" w14:textId="47812090" w:rsidR="006B3D32" w:rsidRPr="00E95C9C" w:rsidRDefault="006B3D32" w:rsidP="006250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5C9C">
        <w:rPr>
          <w:rFonts w:ascii="Times New Roman" w:eastAsia="Times New Roman" w:hAnsi="Times New Roman" w:cs="Times New Roman"/>
          <w:b/>
          <w:i/>
          <w:sz w:val="28"/>
          <w:szCs w:val="28"/>
        </w:rPr>
        <w:t>Описова частина</w:t>
      </w:r>
    </w:p>
    <w:p w14:paraId="508FD579" w14:textId="77777777" w:rsidR="008941AC" w:rsidRPr="00E95C9C" w:rsidRDefault="008941AC" w:rsidP="006250F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5D87BA" w14:textId="388FF2D5" w:rsidR="00BA4574" w:rsidRPr="00E95C9C" w:rsidRDefault="00BA4574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hAnsi="Times New Roman" w:cs="Times New Roman"/>
          <w:sz w:val="28"/>
          <w:szCs w:val="28"/>
        </w:rPr>
        <w:t xml:space="preserve">СПППІ </w:t>
      </w:r>
      <w:r w:rsidR="00B17586" w:rsidRPr="00E95C9C">
        <w:rPr>
          <w:rFonts w:ascii="Times New Roman" w:hAnsi="Times New Roman" w:cs="Times New Roman"/>
          <w:sz w:val="28"/>
          <w:szCs w:val="28"/>
        </w:rPr>
        <w:t>громади</w:t>
      </w:r>
      <w:r w:rsidRPr="00E95C9C">
        <w:rPr>
          <w:rFonts w:ascii="Times New Roman" w:hAnsi="Times New Roman" w:cs="Times New Roman"/>
          <w:sz w:val="28"/>
          <w:szCs w:val="28"/>
        </w:rPr>
        <w:t xml:space="preserve"> 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розроблено управлінням економіки виконкому Криворізької міської ради (надалі </w:t>
      </w:r>
      <w:r w:rsidR="00AE340A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–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управління економіки)</w:t>
      </w:r>
      <w:r w:rsidR="00C626CC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із залученням фахівців Комунального підприємства «Інститут розвитку міста Кривого Рогу» Криворізької міської ради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 підставі пропозицій </w:t>
      </w:r>
      <w:r w:rsidR="00C621D8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управлінь, відділів, інших </w:t>
      </w:r>
      <w:r w:rsidR="006250F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6250F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C621D8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виконавчих органів міської ради</w:t>
      </w:r>
      <w:r w:rsidR="00A7173A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відповідно до цілей і завдань, визначених Стратегією розвитку</w:t>
      </w:r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громади</w:t>
      </w:r>
      <w:r w:rsidR="00FD1AB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у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межах орієнтовного граничного сукупного обсягу публічних інвестицій на середньостроковий період, доведеного департаментом фінансів </w:t>
      </w:r>
      <w:r w:rsidR="004C0FF7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виконкому 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Криворізької міської ради</w:t>
      </w:r>
      <w:r w:rsidR="00C626CC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(надалі – департамент фінансів)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5FE0122A" w14:textId="77777777" w:rsidR="0022113D" w:rsidRPr="00E95C9C" w:rsidRDefault="0022113D" w:rsidP="00625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8D1A30F" w14:textId="5E723ECC" w:rsidR="0022113D" w:rsidRPr="00E95C9C" w:rsidRDefault="0022113D" w:rsidP="006250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Наскрізні стратегічні цілі здійснення публічних інвестицій</w:t>
      </w:r>
    </w:p>
    <w:p w14:paraId="6FDCC8A6" w14:textId="77777777" w:rsidR="0022113D" w:rsidRPr="00E95C9C" w:rsidRDefault="0022113D" w:rsidP="006250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</w:pPr>
    </w:p>
    <w:p w14:paraId="3A774536" w14:textId="54739AC3" w:rsidR="00F710FF" w:rsidRPr="00E95C9C" w:rsidRDefault="0022113D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Виходячи зі Стратегії розвитку громади, </w:t>
      </w:r>
      <w:r w:rsidR="00FD1AB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раховуючи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Стратегію регіонального розвитку Дніпропетровської області 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 період до 2027 року,  </w:t>
      </w:r>
      <w:r w:rsidR="0068152E" w:rsidRPr="00E95C9C">
        <w:rPr>
          <w:rFonts w:ascii="Times New Roman" w:hAnsi="Times New Roman" w:cs="Times New Roman"/>
          <w:sz w:val="28"/>
          <w:szCs w:val="28"/>
        </w:rPr>
        <w:t>СПППІ держави,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наскрізн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ими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стратегічн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ими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ці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лями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FD1AB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 2026–</w:t>
      </w:r>
      <w:r w:rsidR="0019412A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2028 роки 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є</w:t>
      </w:r>
      <w:r w:rsidR="0019412A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: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7EFC09D3" w14:textId="467A7D7E" w:rsidR="00F710FF" w:rsidRPr="00E95C9C" w:rsidRDefault="0019412A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1) 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</w:t>
      </w:r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нергоефективність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енергетична 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та екологічна </w:t>
      </w:r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безпека</w:t>
      </w:r>
      <w:r w:rsidR="00FD1AB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(адаптація до змін клімату);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19A3C02F" w14:textId="6C6B5038" w:rsidR="00F710FF" w:rsidRPr="00E95C9C" w:rsidRDefault="0019412A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2) 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</w:t>
      </w:r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озвиток людського капіталу</w:t>
      </w:r>
      <w:r w:rsidR="00476D6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якість життя</w:t>
      </w:r>
      <w:r w:rsidR="00476D6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громадська безпека</w:t>
      </w:r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</w:t>
      </w:r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модернізація 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інженерної та </w:t>
      </w:r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соціальної інфраструктури, підвищення доступності освіти</w:t>
      </w:r>
      <w:r w:rsidR="00FD1AB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й</w:t>
      </w:r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медицини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="00FD1AB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;</w:t>
      </w:r>
      <w:r w:rsidR="0068152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4C992A24" w14:textId="35806B78" w:rsidR="0022113D" w:rsidRPr="00E95C9C" w:rsidRDefault="00476D6E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</w:t>
      </w:r>
      <w:r w:rsidR="0019412A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 </w:t>
      </w:r>
      <w:proofErr w:type="spellStart"/>
      <w:r w:rsidR="00810D9A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</w:t>
      </w:r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нклюзивність</w:t>
      </w:r>
      <w:proofErr w:type="spellEnd"/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</w:t>
      </w:r>
      <w:proofErr w:type="spellStart"/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безбар’єрність</w:t>
      </w:r>
      <w:proofErr w:type="spellEnd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гендерна рівність </w:t>
      </w:r>
      <w:r w:rsidR="00810D9A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</w:t>
      </w:r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створення доступного середовища для всіх категорій населення, включно з </w:t>
      </w:r>
      <w:proofErr w:type="spellStart"/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маломобільними</w:t>
      </w:r>
      <w:proofErr w:type="spellEnd"/>
      <w:r w:rsidR="0022113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групами та особами з інвалідністю</w:t>
      </w:r>
      <w:r w:rsidR="00810D9A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;</w:t>
      </w:r>
    </w:p>
    <w:p w14:paraId="39EA9955" w14:textId="3DCCBA8A" w:rsidR="00053A12" w:rsidRPr="00E95C9C" w:rsidRDefault="00476D6E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="00FD1AB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 д</w:t>
      </w:r>
      <w:r w:rsidR="00053A12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иверсифікація економіки та розвиток інвестиційного потенціалу.</w:t>
      </w:r>
    </w:p>
    <w:p w14:paraId="047F1786" w14:textId="1FAB5B73" w:rsidR="0019412A" w:rsidRPr="00E95C9C" w:rsidRDefault="0019412A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Наскрізні стратегічні цілі мають ключове значення для досягнення сталого розвитку громади, оскільки забезпечують узгодженість публічних інвестицій з пріоритетами держави та Стратегії розвитку громади</w:t>
      </w:r>
      <w:r w:rsidR="00FD1AB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Їх реалізація передбачає системну інтеграцію принципів енергоефективності, екологічної стійкості, гендерної рівності, </w:t>
      </w:r>
      <w:proofErr w:type="spellStart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безбар’</w:t>
      </w:r>
      <w:r w:rsidR="00FD1AB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єрності</w:t>
      </w:r>
      <w:proofErr w:type="spellEnd"/>
      <w:r w:rsidR="00FD1AB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громадської безпеки в у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сі етапи планування, відбору, фінансування та моніторингу публічних інвестиційних </w:t>
      </w:r>
      <w:proofErr w:type="spellStart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Такий підхід дозволить максимально підвищити соціально-економічний ефект від використання публічних коштів, забезпечити інклюзивний розвиток громади, зменшити вразливість до зовнішніх викликів і ризиків, а також створити умови для підвищення якості життя мешканців </w:t>
      </w:r>
      <w:r w:rsidR="000628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як 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середньостроковій</w:t>
      </w:r>
      <w:r w:rsidR="00FD1AB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</w:t>
      </w:r>
      <w:r w:rsidR="000628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 і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FD1AB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 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довгостроковій перспективі.</w:t>
      </w:r>
    </w:p>
    <w:p w14:paraId="5CA2616F" w14:textId="77777777" w:rsidR="00810D9A" w:rsidRPr="00E95C9C" w:rsidRDefault="00810D9A" w:rsidP="00625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uk-UA"/>
          <w14:ligatures w14:val="none"/>
        </w:rPr>
      </w:pPr>
    </w:p>
    <w:p w14:paraId="334E12C9" w14:textId="7B7F45B6" w:rsidR="00810D9A" w:rsidRPr="00E95C9C" w:rsidRDefault="00810D9A" w:rsidP="006250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uk-UA"/>
          <w14:ligatures w14:val="none"/>
        </w:rPr>
        <w:t>Пріоритетні галузі (сектори) для публічного інвестування</w:t>
      </w:r>
    </w:p>
    <w:p w14:paraId="2AF28950" w14:textId="77777777" w:rsidR="0022113D" w:rsidRPr="00E95C9C" w:rsidRDefault="0022113D" w:rsidP="00625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EB99D12" w14:textId="0BE015C9" w:rsidR="004A3D2F" w:rsidRPr="00E95C9C" w:rsidRDefault="004A3D2F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Пріоритетні галузі (сектори) для публічного інвестування, що містяться в </w:t>
      </w:r>
      <w:r w:rsidR="00D77BC9" w:rsidRPr="00E95C9C">
        <w:rPr>
          <w:rFonts w:ascii="Times New Roman" w:hAnsi="Times New Roman" w:cs="Times New Roman"/>
          <w:sz w:val="28"/>
          <w:szCs w:val="28"/>
        </w:rPr>
        <w:t>СПППІ громади</w:t>
      </w:r>
      <w:r w:rsidR="00FD1AB1" w:rsidRPr="00E95C9C">
        <w:rPr>
          <w:rFonts w:ascii="Times New Roman" w:hAnsi="Times New Roman" w:cs="Times New Roman"/>
          <w:sz w:val="28"/>
          <w:szCs w:val="28"/>
        </w:rPr>
        <w:t>,</w:t>
      </w:r>
      <w:r w:rsidR="00D77BC9" w:rsidRPr="00E95C9C">
        <w:rPr>
          <w:rFonts w:ascii="Times New Roman" w:hAnsi="Times New Roman" w:cs="Times New Roman"/>
          <w:sz w:val="28"/>
          <w:szCs w:val="28"/>
        </w:rPr>
        <w:t xml:space="preserve"> 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є ключовими для громади та саме на них спрямовуватимуться публічні інвестиції на середньостроковий період. </w:t>
      </w:r>
    </w:p>
    <w:p w14:paraId="31CBB812" w14:textId="142B86A7" w:rsidR="004A3D2F" w:rsidRPr="00E95C9C" w:rsidRDefault="004A3D2F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Пріоритетні галузі (сектори) для публічного інвестування були відібрані та впорядковані</w:t>
      </w:r>
      <w:r w:rsidR="0046705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у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раховуючи потреби, пріоритети та спроможності громади, а також вимоги Бюджетного кодексу України.</w:t>
      </w:r>
    </w:p>
    <w:p w14:paraId="6F61602E" w14:textId="5BF37ACD" w:rsidR="004A3D2F" w:rsidRPr="00E95C9C" w:rsidRDefault="004A3D2F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До пріоритетних галузей (секторів) для публічного інвестування, визначених </w:t>
      </w:r>
      <w:r w:rsidR="00D77BC9" w:rsidRPr="00E95C9C">
        <w:rPr>
          <w:rFonts w:ascii="Times New Roman" w:hAnsi="Times New Roman" w:cs="Times New Roman"/>
          <w:sz w:val="28"/>
          <w:szCs w:val="28"/>
        </w:rPr>
        <w:t>СПППІ громади</w:t>
      </w:r>
      <w:r w:rsidR="0046705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належать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: </w:t>
      </w:r>
    </w:p>
    <w:p w14:paraId="7F2A37EB" w14:textId="6DA32154" w:rsidR="001C45FC" w:rsidRPr="00E95C9C" w:rsidRDefault="001C45FC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Муніципал</w:t>
      </w:r>
      <w:r w:rsidR="0046705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ьна інфраструктура та послуги (д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епартамент розвитку інфраструктури міста</w:t>
      </w:r>
      <w:r w:rsidR="0046705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виконкому Криворізької міської ради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).</w:t>
      </w:r>
    </w:p>
    <w:p w14:paraId="40ABE431" w14:textId="77777777" w:rsidR="006250F5" w:rsidRPr="00E95C9C" w:rsidRDefault="006250F5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5B3B628" w14:textId="76D90D9E" w:rsidR="004A3D2F" w:rsidRPr="00E95C9C" w:rsidRDefault="00467050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Транспорт (у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правління транспорту та телекомунікацій</w:t>
      </w:r>
      <w:r w:rsidR="005B47A7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виконкому Криворізької міської ради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="00BD399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28C72DE2" w14:textId="78F6189F" w:rsidR="004A3D2F" w:rsidRPr="00E95C9C" w:rsidRDefault="004A3D2F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Житло (</w:t>
      </w:r>
      <w:r w:rsidR="0046705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</w:t>
      </w:r>
      <w:r w:rsidR="00444E9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епартамент розвитку інфраструктури міста виконкому Криворізької міської ради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="00BD399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7C380001" w14:textId="455BA3E2" w:rsidR="004A3D2F" w:rsidRPr="00E95C9C" w:rsidRDefault="00467050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Енергетика (в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ідділ з питань </w:t>
      </w:r>
      <w:proofErr w:type="spellStart"/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енергоменеджменту</w:t>
      </w:r>
      <w:proofErr w:type="spellEnd"/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впровадження енергозберігаючих технологій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3A66B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виконкому міськ</w:t>
      </w:r>
      <w:r w:rsidR="00207EA7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ої 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ради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="00BD399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0B651C74" w14:textId="51D3A64E" w:rsidR="004A3D2F" w:rsidRPr="00E95C9C" w:rsidRDefault="00467050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Освіта і наука (д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епартамент освіти і науки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виконкому Криворізької міської ради 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="00BD399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41014BCF" w14:textId="74BBCAEB" w:rsidR="004A3D2F" w:rsidRPr="00E95C9C" w:rsidRDefault="00467050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Охорона здоров’я (у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правління охорони здоров'я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виконкому Криворізької міської ради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="00BD399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69C60A7B" w14:textId="24591A41" w:rsidR="004A3D2F" w:rsidRPr="00E95C9C" w:rsidRDefault="00467050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Соціальна сфера (д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епартамент соціальної політики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виконкому Криворізької міської ради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="00BD399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6D8CF90E" w14:textId="011BC466" w:rsidR="004A3D2F" w:rsidRPr="00E95C9C" w:rsidRDefault="00467050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Громадська безпека (у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правління з питань надзвичайних ситуацій та цивільного захисту населення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виконкому Криворізької міської ради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="00BD399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543B8F43" w14:textId="374B7689" w:rsidR="004A3D2F" w:rsidRPr="00E95C9C" w:rsidRDefault="00467050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Довкілля (у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правління екології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виконкому Криворізької міської ради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="00BD399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0BF3DCE0" w14:textId="14460E0A" w:rsidR="004A3D2F" w:rsidRPr="00E95C9C" w:rsidRDefault="004A3D2F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Публічні послуги і </w:t>
      </w:r>
      <w:r w:rsidR="00E539C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пов’язана</w:t>
      </w:r>
      <w:r w:rsidR="0046705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 ними </w:t>
      </w:r>
      <w:proofErr w:type="spellStart"/>
      <w:r w:rsidR="0046705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цифровізація</w:t>
      </w:r>
      <w:proofErr w:type="spellEnd"/>
      <w:r w:rsidR="0046705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(у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правління технічного захисту інформації та інформаційно-комунікаційних технологій</w:t>
      </w:r>
      <w:r w:rsidR="0046705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виконкому Криворізької міської ради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="00BD399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256D478E" w14:textId="20FCFF04" w:rsidR="004A3D2F" w:rsidRPr="00E95C9C" w:rsidRDefault="00467050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Економічна діяльність (у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правління економіки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виконкому Криворізької міської ради</w:t>
      </w:r>
      <w:r w:rsidR="004A3D2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="00BD399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5DAEF994" w14:textId="5CF1588E" w:rsidR="008941AC" w:rsidRPr="00E95C9C" w:rsidRDefault="004A3D2F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Культура та інформація</w:t>
      </w:r>
      <w:r w:rsidR="0046705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(у</w:t>
      </w:r>
      <w:r w:rsidR="003C7313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правління культури</w:t>
      </w:r>
      <w:r w:rsidR="0046705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виконкому Криворізької міської ради</w:t>
      </w:r>
      <w:r w:rsidR="003C7313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2D2CC34D" w14:textId="5F78C931" w:rsidR="00A10216" w:rsidRPr="00E95C9C" w:rsidRDefault="00A10216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Спорт та фізичне виховання (департамент у справах сім’ї, молоді та спорту виконкому Криворізької міської ради).</w:t>
      </w:r>
    </w:p>
    <w:p w14:paraId="760EFC47" w14:textId="6DA18745" w:rsidR="00E539C5" w:rsidRPr="00E95C9C" w:rsidRDefault="006B0D60" w:rsidP="006250F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 метою досягнення стратегічних цілей розвитку громади, забезпечення виконання завдань, спрямованих на відновлення та модернізацію міської інфраструктури, стимулювання соціально-економічного зростання та підвищення якості життя мешканців, у період 2026–2028 років у </w:t>
      </w:r>
      <w:r w:rsidR="004A43C8" w:rsidRPr="00E95C9C">
        <w:rPr>
          <w:rFonts w:ascii="Times New Roman" w:hAnsi="Times New Roman" w:cs="Times New Roman"/>
          <w:sz w:val="28"/>
          <w:szCs w:val="28"/>
        </w:rPr>
        <w:t>СПППІ громади</w:t>
      </w:r>
      <w:r w:rsidR="00C5210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пропонується визначити 13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ключових секторів (галузей) для публічного інвестування</w:t>
      </w:r>
      <w:r w:rsidR="00E539C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зокрема:</w:t>
      </w:r>
    </w:p>
    <w:p w14:paraId="495649F3" w14:textId="38ACCB37" w:rsidR="00977589" w:rsidRPr="00E95C9C" w:rsidRDefault="00977589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Сектор (галузь) «Муніципальна інфраструктура та послуги» охоплює модернізацію та розвиток систем водопостачання і водовідведення, теплопостачання з інтеграцією відновлюваних джерел енергії, удосконалення системи управління твердими побутовими відходами, підвищення енергоефективності громадських будівель, </w:t>
      </w:r>
      <w:r w:rsidR="00824E8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включаючи будівництво сонячних електростанцій на об’єктах комунальної власності,</w:t>
      </w:r>
      <w:r w:rsidR="006250F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розвиток індустріального парку</w:t>
      </w:r>
      <w:r w:rsidR="0014298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«</w:t>
      </w:r>
      <w:proofErr w:type="spellStart"/>
      <w:r w:rsidR="0014298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Кривбас</w:t>
      </w:r>
      <w:proofErr w:type="spellEnd"/>
      <w:r w:rsidR="0014298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</w:t>
      </w:r>
      <w:r w:rsidR="006250F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облаштування </w:t>
      </w:r>
      <w:proofErr w:type="spellStart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безба</w:t>
      </w:r>
      <w:r w:rsidR="0014298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р’єрних</w:t>
      </w:r>
      <w:proofErr w:type="spellEnd"/>
      <w:r w:rsidR="0014298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маршрутів і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вулично</w:t>
      </w:r>
      <w:proofErr w:type="spellEnd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-дорожньої мережі, створенн</w:t>
      </w:r>
      <w:r w:rsidR="0014298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 та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розвиток інфраструктури публічних просторів, що с</w:t>
      </w:r>
      <w:r w:rsidR="0014298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прияють соціальній інтеграції і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активному дозвіллю мешканців громади.</w:t>
      </w:r>
    </w:p>
    <w:p w14:paraId="37F13325" w14:textId="6D2DD20C" w:rsidR="00E539C5" w:rsidRPr="00E95C9C" w:rsidRDefault="000E1084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</w:t>
      </w:r>
      <w:r w:rsidR="00AE69D2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ектор (галузь) «Транспорт»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AE69D2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спрямований на розвиток міського г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ромадського транспорту, </w:t>
      </w:r>
      <w:r w:rsidR="00AE69D2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створення та розширення мережі </w:t>
      </w:r>
      <w:proofErr w:type="spellStart"/>
      <w:r w:rsidR="00AE69D2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електрозарядної</w:t>
      </w:r>
      <w:proofErr w:type="spellEnd"/>
      <w:r w:rsidR="00AE69D2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інфраструктури для забезпечення переходу на еко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логічно чисті види транспорту й</w:t>
      </w:r>
      <w:r w:rsidR="00AE69D2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зменшення викидів парникових газів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5B54823F" w14:textId="1A9BBB49" w:rsidR="00BB1700" w:rsidRPr="00E95C9C" w:rsidRDefault="000E1084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</w:t>
      </w:r>
      <w:r w:rsidR="00BB170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ектор (галузь) «Житло»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BB170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спрямований на відновлення багатоквартирних будинків, пошкоджених або зруйнован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их внаслідок збройної агресії 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Російської Федерації</w:t>
      </w:r>
      <w:r w:rsidR="00BB170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пр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оведення капітального ремонту й</w:t>
      </w:r>
      <w:r w:rsidR="00BB170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модернізації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ліфтового господарства,</w:t>
      </w:r>
      <w:r w:rsidR="00BB1700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створення умов для розвитку та соціальної інтеграції молоді шляхом запровадження механізмів надання довгострокових пільгових кредитів молодим сім’ям на придбання житла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575AF5FD" w14:textId="33EEAB5D" w:rsidR="00E539C5" w:rsidRPr="00E95C9C" w:rsidRDefault="000E1084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</w:t>
      </w:r>
      <w:r w:rsidR="00343EAA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ектор (галузь) «Енергетика»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343EAA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спрямований на розвиток та модернізацію енергетичної інфраструктури громади, збільшення частки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альтернативних джерел енергії в</w:t>
      </w:r>
      <w:r w:rsidR="00343EAA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загальному енергетичному балансі, підвищення енергетичної стійкості та надійності постачання, а також спорудження об’єктів біоенергетики з використанням місцевих видів палива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579BBC95" w14:textId="1ADB0F90" w:rsidR="00E539C5" w:rsidRPr="00E95C9C" w:rsidRDefault="000E1084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</w:t>
      </w:r>
      <w:r w:rsidR="00343EAA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ектор (галузь) «Освіта і наука»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343EAA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спрямований на модернізацію закладів освіти, покращення їх інфраструктури,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забезпечення якості, безпеки й доступності освітніх послуг, у</w:t>
      </w:r>
      <w:r w:rsidR="00343EAA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провадження сучас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них освітніх технологій,</w:t>
      </w:r>
      <w:r w:rsidR="00343EAA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створення центру трансферу технологій та циркулярних інновацій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FDDD64F" w14:textId="22CAA8C6" w:rsidR="000E33F4" w:rsidRPr="00E95C9C" w:rsidRDefault="000E1084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</w:t>
      </w:r>
      <w:r w:rsidR="000E33F4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ектор (галузь) «Охорона здоров’я»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0E33F4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спрямований на розвиток медичних закладів та підвищення якості медичних послуг. Публічні інвестиції спрямовуватимуться також на покращення доступу до медичної допомоги, оснащення закладів охорони здоров’я сучасним медичним об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ладнанням, створення безпечних</w:t>
      </w:r>
      <w:r w:rsidR="000E33F4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комфортн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их умов перебування пацієнтів і персоналу,</w:t>
      </w:r>
      <w:r w:rsidR="000E33F4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розвиток і модернізацію інфраструктури для надання реабілітаційних послуг, зокрема для військовослужбовців, ветеранів, осіб з інвалідністю та інших вразливих категорій населення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36A8B18B" w14:textId="01716504" w:rsidR="00E539C5" w:rsidRPr="00E95C9C" w:rsidRDefault="000E1084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</w:t>
      </w:r>
      <w:r w:rsidR="00933042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ектор (галузь) «Соціальна сфера»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33042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спрямований на підвищення рівня соціального захисту та підтримки вразливих категорій 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населення. Публічні інвестиції в</w:t>
      </w:r>
      <w:r w:rsidR="00933042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цьому секторі передбачають створення житла для внутрішньо переміщених осіб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(надалі – ВПО)</w:t>
      </w:r>
      <w:r w:rsidR="00933042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розвиток мережі ветеранських просторів, будівництво та облаштування дитячих будинків сімейного типу, забезпечення житлом дітей-сиріт та дітей, позбавлених батьківського піклування, придбання спеціального обладнання для осіб з інвалідністю, </w:t>
      </w:r>
      <w:r w:rsidR="0033328C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створення безпечних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933042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комфортних умов перебування в установах соціального захисту населення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61DB1EC7" w14:textId="31E11EC0" w:rsidR="00765AB6" w:rsidRPr="00E95C9C" w:rsidRDefault="000E1084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</w:t>
      </w:r>
      <w:r w:rsidR="00765AB6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ектор (галузь) «Довкілля» спрямований</w:t>
      </w:r>
      <w:r w:rsidR="0097758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765AB6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 охорону навколишнього природного середовища та зменшення негативного впливу господарської діяльності на екосистеми. Публічні інвестиції передбачають забезпечення захисту від шкідливої дії вод населених</w:t>
      </w:r>
      <w:r w:rsidR="00616984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пунктів, виробничих об’єктів і</w:t>
      </w:r>
      <w:r w:rsidR="00765AB6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створення безпечних умов життєдіяльності населення, розвиток об’єктів інфраструктури для управління побутовими та промисловими відходами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CD761AD" w14:textId="78D70674" w:rsidR="00977589" w:rsidRPr="00E95C9C" w:rsidRDefault="00977589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Сектор (галузь) «Громадська безпека», спрямований на забезпечення ефективного реагування на надзвичайні ситуації, підвищення рівня безпеки громадян, </w:t>
      </w:r>
      <w:r w:rsidR="006A578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провадження автоматизованих систем централізованого оповіщення населення для оперативного інформування про загрози та координації дій у кризових ситуаціях.</w:t>
      </w:r>
    </w:p>
    <w:p w14:paraId="70BE9855" w14:textId="3248CF89" w:rsidR="00223833" w:rsidRPr="00E95C9C" w:rsidRDefault="000E1084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</w:t>
      </w:r>
      <w:r w:rsidR="00E539C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ектор (галузь) «Публічні послуги і </w:t>
      </w:r>
      <w:proofErr w:type="spellStart"/>
      <w:r w:rsidR="00E539C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повʼязана</w:t>
      </w:r>
      <w:proofErr w:type="spellEnd"/>
      <w:r w:rsidR="00E539C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 ними </w:t>
      </w:r>
      <w:proofErr w:type="spellStart"/>
      <w:r w:rsidR="00E539C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цифровізація</w:t>
      </w:r>
      <w:proofErr w:type="spellEnd"/>
      <w:r w:rsidR="00E539C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</w:t>
      </w:r>
      <w:r w:rsidR="00616984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E539C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EC055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спрямований</w:t>
      </w:r>
      <w:r w:rsidR="00223833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 модернізацію сервісів, цифрову трансформацію процесів управління та розширення електронних можливостей для населення. </w:t>
      </w:r>
    </w:p>
    <w:p w14:paraId="19CF79C7" w14:textId="76A71709" w:rsidR="00E539C5" w:rsidRPr="00E95C9C" w:rsidRDefault="000E1084" w:rsidP="006250F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С</w:t>
      </w:r>
      <w:r w:rsidR="007F4DE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ектор (галузь) «Економічна діяльність»</w:t>
      </w:r>
      <w:r w:rsidR="00616984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7F4DE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спрямований на забезпечення сталого розвитку території громади через диверсифікацію економіки, підвищення інвестиційної привабливості та стимулювання ділової ак</w:t>
      </w:r>
      <w:r w:rsidR="00616984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тивності. Публічні інвестиції в</w:t>
      </w:r>
      <w:r w:rsidR="007F4DE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цьому секторі передбачають </w:t>
      </w:r>
      <w:r w:rsidR="006250F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</w:t>
      </w:r>
      <w:r w:rsidR="00824E8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творення центрів інноваційного розвитку </w:t>
      </w:r>
      <w:r w:rsidR="007F4DE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 зміцнення інституцій інфраструктури підтримки підприємництва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A137E07" w14:textId="7ECBBC7A" w:rsidR="00572085" w:rsidRPr="00E95C9C" w:rsidRDefault="000E1084" w:rsidP="006250F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</w:t>
      </w:r>
      <w:r w:rsidR="00AC148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ектор </w:t>
      </w:r>
      <w:r w:rsidR="00A10216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(галузь) </w:t>
      </w:r>
      <w:r w:rsidR="00AC148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«Культура та інформація»</w:t>
      </w:r>
      <w:r w:rsidR="00616984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AC148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спрямований на розвиток культурного потенціалу громади та доступу населення до якісних культурних послуг. Передбачає підвищення безпеки закладів культури через розвиток захисної інфраструктури, створення та модернізацію місць національної пам’яті (фізичних і цифрових), відновлення та розвиток центрів культурних послуг, модернізацію матеріально-технічної бази та приведення закладів у належний стан, у тому числі для подола</w:t>
      </w:r>
      <w:r w:rsidR="00616984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ння наслідків збройної агресії Російської Ф</w:t>
      </w:r>
      <w:r w:rsidR="00AC148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едерації.</w:t>
      </w:r>
    </w:p>
    <w:p w14:paraId="7775A4E0" w14:textId="2C017A88" w:rsidR="00BD33ED" w:rsidRPr="00E95C9C" w:rsidRDefault="00A10216" w:rsidP="006250F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Сектор (галузь) «Спорт та фізичне виховання», спрямований на</w:t>
      </w:r>
      <w:r w:rsidR="00F063D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F252E3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модернізацію спортивних споруд, покращен</w:t>
      </w:r>
      <w:r w:rsidR="006A578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ня їх інфраструктури,</w:t>
      </w:r>
      <w:r w:rsidR="00F252E3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орієнтований на розвиток фізичної культури та спорту, покращення здоров’я населення, досягнення спортивних результатів, популяризацію здорового способу життя та утвердження авторитету міста</w:t>
      </w:r>
      <w:r w:rsidR="00F063DD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0A27C80C" w14:textId="77777777" w:rsidR="00A10216" w:rsidRPr="00E95C9C" w:rsidRDefault="00A10216" w:rsidP="006250F5">
      <w:pPr>
        <w:pStyle w:val="a7"/>
        <w:spacing w:after="0" w:line="252" w:lineRule="auto"/>
        <w:ind w:left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</w:pPr>
    </w:p>
    <w:p w14:paraId="7A0E8935" w14:textId="43643C99" w:rsidR="00BD33ED" w:rsidRPr="00E95C9C" w:rsidRDefault="00BD33ED" w:rsidP="006250F5">
      <w:pPr>
        <w:pStyle w:val="a7"/>
        <w:spacing w:after="0" w:line="252" w:lineRule="auto"/>
        <w:ind w:left="0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</w:pPr>
      <w:proofErr w:type="spellStart"/>
      <w:r w:rsidRPr="00E95C9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Підсектори</w:t>
      </w:r>
      <w:proofErr w:type="spellEnd"/>
      <w:r w:rsidRPr="00E95C9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 галузей (секторів) для публічного інвестування</w:t>
      </w:r>
    </w:p>
    <w:p w14:paraId="3E8C71B0" w14:textId="77777777" w:rsidR="00062089" w:rsidRPr="00E95C9C" w:rsidRDefault="00062089" w:rsidP="006250F5">
      <w:pPr>
        <w:pStyle w:val="a7"/>
        <w:spacing w:after="0" w:line="252" w:lineRule="auto"/>
        <w:ind w:left="0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</w:pPr>
    </w:p>
    <w:p w14:paraId="57B57902" w14:textId="77777777" w:rsidR="00062089" w:rsidRPr="00E95C9C" w:rsidRDefault="00062089" w:rsidP="006250F5">
      <w:pPr>
        <w:pStyle w:val="ac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E95C9C">
        <w:rPr>
          <w:sz w:val="28"/>
          <w:szCs w:val="28"/>
        </w:rPr>
        <w:t xml:space="preserve">У межах кожної пріоритетної галузі (сектора) для публічного інвестування формуються </w:t>
      </w:r>
      <w:proofErr w:type="spellStart"/>
      <w:r w:rsidRPr="00E95C9C">
        <w:rPr>
          <w:sz w:val="28"/>
          <w:szCs w:val="28"/>
        </w:rPr>
        <w:t>підсектори</w:t>
      </w:r>
      <w:proofErr w:type="spellEnd"/>
      <w:r w:rsidRPr="00E95C9C">
        <w:rPr>
          <w:sz w:val="28"/>
          <w:szCs w:val="28"/>
        </w:rPr>
        <w:t>, що відображають ключові напрями розвитку громади, які потребують публічних інвестицій.</w:t>
      </w:r>
    </w:p>
    <w:p w14:paraId="07A85E77" w14:textId="0D78D1A9" w:rsidR="00B3173C" w:rsidRPr="00E95C9C" w:rsidRDefault="00B3173C" w:rsidP="006250F5">
      <w:pPr>
        <w:pStyle w:val="ac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proofErr w:type="spellStart"/>
      <w:r w:rsidRPr="00E95C9C">
        <w:rPr>
          <w:rStyle w:val="ad"/>
          <w:rFonts w:eastAsiaTheme="majorEastAsia"/>
          <w:b w:val="0"/>
          <w:bCs w:val="0"/>
          <w:sz w:val="28"/>
          <w:szCs w:val="28"/>
        </w:rPr>
        <w:t>Підсектори</w:t>
      </w:r>
      <w:proofErr w:type="spellEnd"/>
      <w:r w:rsidRPr="00E95C9C">
        <w:rPr>
          <w:rStyle w:val="ad"/>
          <w:rFonts w:eastAsiaTheme="majorEastAsia"/>
          <w:b w:val="0"/>
          <w:bCs w:val="0"/>
          <w:sz w:val="28"/>
          <w:szCs w:val="28"/>
        </w:rPr>
        <w:t xml:space="preserve"> галузей (секторів) для публічного інвестування</w:t>
      </w:r>
      <w:r w:rsidRPr="00E95C9C">
        <w:rPr>
          <w:sz w:val="28"/>
          <w:szCs w:val="28"/>
        </w:rPr>
        <w:t xml:space="preserve"> визначають конкретні сфери діяльності, що потребують фінансування та особливої уваги громади. Їх визначення дозволяє деталізувати місцеві пріоритети, узгоджені з державними</w:t>
      </w:r>
      <w:r w:rsidR="00616984" w:rsidRPr="00E95C9C">
        <w:rPr>
          <w:sz w:val="28"/>
          <w:szCs w:val="28"/>
        </w:rPr>
        <w:t>,</w:t>
      </w:r>
      <w:r w:rsidRPr="00E95C9C">
        <w:rPr>
          <w:sz w:val="28"/>
          <w:szCs w:val="28"/>
        </w:rPr>
        <w:t xml:space="preserve"> та оптимізувати використання публічних коштів.</w:t>
      </w:r>
    </w:p>
    <w:p w14:paraId="1793D740" w14:textId="77777777" w:rsidR="00EC0559" w:rsidRPr="00E95C9C" w:rsidRDefault="00062089" w:rsidP="006250F5">
      <w:pPr>
        <w:pStyle w:val="ac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proofErr w:type="spellStart"/>
      <w:r w:rsidRPr="00E95C9C">
        <w:rPr>
          <w:sz w:val="28"/>
          <w:szCs w:val="28"/>
        </w:rPr>
        <w:t>Підсектори</w:t>
      </w:r>
      <w:proofErr w:type="spellEnd"/>
      <w:r w:rsidRPr="00E95C9C">
        <w:rPr>
          <w:sz w:val="28"/>
          <w:szCs w:val="28"/>
        </w:rPr>
        <w:t xml:space="preserve"> є ключовими аналітичними елементами, що дозволяють системно структурувати пріоритети розвитку, визначати потреби у фінансуванні та забезпечувати комплексне планування публічних інвестицій. Вони сприяють узгодженню стратегічних цілей державного, регіонального та місцевого рівнів, підвищують ефективність управлінських рішень і створюють передумови для реалізації інтегрованого підходу до управління інвестиційними ресурсами громади.</w:t>
      </w:r>
    </w:p>
    <w:p w14:paraId="4F065556" w14:textId="77777777" w:rsidR="00207EA7" w:rsidRPr="00E95C9C" w:rsidRDefault="00207EA7" w:rsidP="006250F5">
      <w:pPr>
        <w:pStyle w:val="ac"/>
        <w:spacing w:before="0" w:beforeAutospacing="0" w:after="0" w:afterAutospacing="0" w:line="252" w:lineRule="auto"/>
        <w:ind w:firstLine="567"/>
        <w:jc w:val="center"/>
        <w:rPr>
          <w:i/>
          <w:sz w:val="28"/>
          <w:szCs w:val="28"/>
        </w:rPr>
      </w:pPr>
    </w:p>
    <w:p w14:paraId="4895C087" w14:textId="3407E0F2" w:rsidR="00207EA7" w:rsidRPr="00E95C9C" w:rsidRDefault="00643B10" w:rsidP="006250F5">
      <w:pPr>
        <w:pStyle w:val="ac"/>
        <w:spacing w:before="0" w:beforeAutospacing="0" w:after="0" w:afterAutospacing="0" w:line="252" w:lineRule="auto"/>
        <w:ind w:firstLine="567"/>
        <w:jc w:val="center"/>
        <w:rPr>
          <w:i/>
          <w:sz w:val="28"/>
          <w:szCs w:val="28"/>
        </w:rPr>
      </w:pPr>
      <w:r w:rsidRPr="00E95C9C">
        <w:rPr>
          <w:i/>
          <w:sz w:val="28"/>
          <w:szCs w:val="28"/>
        </w:rPr>
        <w:t>Основні напрями публічного інвестування</w:t>
      </w:r>
    </w:p>
    <w:p w14:paraId="3F6B55D5" w14:textId="77777777" w:rsidR="00207EA7" w:rsidRPr="00E95C9C" w:rsidRDefault="00207EA7" w:rsidP="006250F5">
      <w:pPr>
        <w:pStyle w:val="ac"/>
        <w:spacing w:before="0" w:beforeAutospacing="0" w:after="0" w:afterAutospacing="0" w:line="252" w:lineRule="auto"/>
        <w:ind w:firstLine="567"/>
        <w:jc w:val="center"/>
        <w:rPr>
          <w:i/>
          <w:sz w:val="28"/>
          <w:szCs w:val="28"/>
        </w:rPr>
      </w:pPr>
    </w:p>
    <w:p w14:paraId="21CFC845" w14:textId="0814BA42" w:rsidR="00B541F0" w:rsidRPr="00E95C9C" w:rsidRDefault="00B541F0" w:rsidP="006250F5">
      <w:pPr>
        <w:pStyle w:val="ac"/>
        <w:spacing w:before="0" w:beforeAutospacing="0" w:after="0" w:afterAutospacing="0" w:line="252" w:lineRule="auto"/>
        <w:ind w:firstLine="567"/>
        <w:jc w:val="both"/>
        <w:rPr>
          <w:iCs/>
          <w:sz w:val="28"/>
          <w:szCs w:val="28"/>
        </w:rPr>
      </w:pPr>
      <w:r w:rsidRPr="00E95C9C">
        <w:rPr>
          <w:iCs/>
          <w:sz w:val="28"/>
          <w:szCs w:val="28"/>
        </w:rPr>
        <w:t xml:space="preserve">Основні напрями публічного інвестування узгоджуються із завданнями Стратегії розвитку громади, </w:t>
      </w:r>
      <w:r w:rsidR="00616984" w:rsidRPr="00E95C9C">
        <w:rPr>
          <w:sz w:val="28"/>
          <w:szCs w:val="28"/>
          <w:lang w:eastAsia="uk-UA"/>
        </w:rPr>
        <w:t>Стратегії</w:t>
      </w:r>
      <w:r w:rsidRPr="00E95C9C">
        <w:rPr>
          <w:sz w:val="28"/>
          <w:szCs w:val="28"/>
          <w:lang w:eastAsia="uk-UA"/>
        </w:rPr>
        <w:t xml:space="preserve"> регіонального розвитку Дніпропетровської області </w:t>
      </w:r>
      <w:r w:rsidR="00616984" w:rsidRPr="00E95C9C">
        <w:rPr>
          <w:sz w:val="28"/>
          <w:szCs w:val="28"/>
          <w:lang w:eastAsia="uk-UA"/>
        </w:rPr>
        <w:t>на період до 2027 року та</w:t>
      </w:r>
      <w:r w:rsidRPr="00E95C9C">
        <w:rPr>
          <w:sz w:val="28"/>
          <w:szCs w:val="28"/>
          <w:lang w:eastAsia="uk-UA"/>
        </w:rPr>
        <w:t xml:space="preserve"> </w:t>
      </w:r>
      <w:r w:rsidRPr="00E95C9C">
        <w:rPr>
          <w:sz w:val="28"/>
          <w:szCs w:val="28"/>
        </w:rPr>
        <w:t>СПППІ держави</w:t>
      </w:r>
      <w:r w:rsidRPr="00E95C9C">
        <w:rPr>
          <w:iCs/>
          <w:sz w:val="28"/>
          <w:szCs w:val="28"/>
        </w:rPr>
        <w:t>.</w:t>
      </w:r>
    </w:p>
    <w:p w14:paraId="3B42C739" w14:textId="24CEA20A" w:rsidR="00B541F0" w:rsidRPr="00E95C9C" w:rsidRDefault="00B541F0" w:rsidP="006250F5">
      <w:pPr>
        <w:pStyle w:val="ac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E95C9C">
        <w:rPr>
          <w:iCs/>
          <w:sz w:val="28"/>
          <w:szCs w:val="28"/>
        </w:rPr>
        <w:lastRenderedPageBreak/>
        <w:t xml:space="preserve">Формування основних напрямів публічного інвестування здійснювалося управлінням економіки на основі пропозицій </w:t>
      </w:r>
      <w:r w:rsidR="00396EC9" w:rsidRPr="00E95C9C">
        <w:rPr>
          <w:iCs/>
          <w:sz w:val="28"/>
          <w:szCs w:val="28"/>
        </w:rPr>
        <w:t>управлінь, відділів, інших виконавчих органів міської ради</w:t>
      </w:r>
      <w:r w:rsidRPr="00E95C9C">
        <w:rPr>
          <w:iCs/>
          <w:sz w:val="28"/>
          <w:szCs w:val="28"/>
        </w:rPr>
        <w:t>, відповідальних за галузі (сектори) для публічного інвестування, з урахуванням основних напрямів публічного інвестування</w:t>
      </w:r>
      <w:r w:rsidR="00616984" w:rsidRPr="00E95C9C">
        <w:rPr>
          <w:iCs/>
          <w:sz w:val="28"/>
          <w:szCs w:val="28"/>
        </w:rPr>
        <w:t>, визначених у</w:t>
      </w:r>
      <w:r w:rsidRPr="00E95C9C">
        <w:rPr>
          <w:iCs/>
          <w:sz w:val="28"/>
          <w:szCs w:val="28"/>
        </w:rPr>
        <w:t xml:space="preserve"> </w:t>
      </w:r>
      <w:r w:rsidRPr="00E95C9C">
        <w:rPr>
          <w:sz w:val="28"/>
          <w:szCs w:val="28"/>
        </w:rPr>
        <w:t>СПППІ держави</w:t>
      </w:r>
      <w:r w:rsidR="00616984" w:rsidRPr="00E95C9C">
        <w:rPr>
          <w:sz w:val="28"/>
          <w:szCs w:val="28"/>
        </w:rPr>
        <w:t>,</w:t>
      </w:r>
      <w:r w:rsidRPr="00E95C9C">
        <w:rPr>
          <w:sz w:val="28"/>
          <w:szCs w:val="28"/>
        </w:rPr>
        <w:t xml:space="preserve"> та </w:t>
      </w:r>
      <w:r w:rsidRPr="00E95C9C">
        <w:rPr>
          <w:iCs/>
          <w:sz w:val="28"/>
          <w:szCs w:val="28"/>
        </w:rPr>
        <w:t>завдань, визначених Стратегією розвитку громади</w:t>
      </w:r>
      <w:r w:rsidR="00616984" w:rsidRPr="00E95C9C">
        <w:rPr>
          <w:iCs/>
          <w:sz w:val="28"/>
          <w:szCs w:val="28"/>
        </w:rPr>
        <w:t>, з у</w:t>
      </w:r>
      <w:r w:rsidRPr="00E95C9C">
        <w:rPr>
          <w:iCs/>
          <w:sz w:val="28"/>
          <w:szCs w:val="28"/>
        </w:rPr>
        <w:t xml:space="preserve">рахуванням діючих інвестиційних </w:t>
      </w:r>
      <w:proofErr w:type="spellStart"/>
      <w:r w:rsidRPr="00E95C9C">
        <w:rPr>
          <w:iCs/>
          <w:sz w:val="28"/>
          <w:szCs w:val="28"/>
        </w:rPr>
        <w:t>проєктів</w:t>
      </w:r>
      <w:proofErr w:type="spellEnd"/>
      <w:r w:rsidRPr="00E95C9C">
        <w:rPr>
          <w:iCs/>
          <w:sz w:val="28"/>
          <w:szCs w:val="28"/>
        </w:rPr>
        <w:t xml:space="preserve"> за відповідними напрямами.</w:t>
      </w:r>
    </w:p>
    <w:p w14:paraId="6BA284D5" w14:textId="77235DFD" w:rsidR="00B541F0" w:rsidRPr="00E95C9C" w:rsidRDefault="00B541F0" w:rsidP="0062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За підсумками опрацювання</w:t>
      </w:r>
      <w:r w:rsidR="00ED1700"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пропозицій </w:t>
      </w:r>
      <w:r w:rsidR="008B4481"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управлінь, відділів, інших виконавчих органів міської ради і</w:t>
      </w:r>
      <w:r w:rsidR="00ED1700"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схвалення міською інвестиційною радою</w:t>
      </w:r>
      <w:r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="00ED1700"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було с</w:t>
      </w:r>
      <w:r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формовано перелік</w:t>
      </w:r>
      <w:r w:rsidR="005143CB"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основних</w:t>
      </w:r>
      <w:r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напрямів публічного інвестування</w:t>
      </w:r>
      <w:r w:rsidR="005143CB"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, які</w:t>
      </w:r>
      <w:r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="00D34F38"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включено</w:t>
      </w:r>
      <w:r w:rsidR="008B4481"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в д</w:t>
      </w:r>
      <w:r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одат</w:t>
      </w:r>
      <w:r w:rsidR="00D34F38"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</w:t>
      </w:r>
      <w:r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к до </w:t>
      </w:r>
      <w:r w:rsidR="005B47A7"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СПППІ громади</w:t>
      </w:r>
      <w:r w:rsidR="008B4481"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. </w:t>
      </w:r>
      <w:r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Напрями, що не відповідають критеріям публічних інвестицій відповідно до Бюджетного кодексу України</w:t>
      </w:r>
      <w:r w:rsidR="008B4481"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,</w:t>
      </w:r>
      <w:r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до </w:t>
      </w:r>
      <w:r w:rsidR="002D5161"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СПППІ громади</w:t>
      </w:r>
      <w:r w:rsidRPr="00E95C9C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не включалися.</w:t>
      </w:r>
    </w:p>
    <w:p w14:paraId="5E96B458" w14:textId="77777777" w:rsidR="006D17E4" w:rsidRPr="00E95C9C" w:rsidRDefault="006D17E4" w:rsidP="006250F5">
      <w:pPr>
        <w:pStyle w:val="ac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14:paraId="2E4D6023" w14:textId="77777777" w:rsidR="006A0B85" w:rsidRPr="00E95C9C" w:rsidRDefault="006A0B85" w:rsidP="006250F5">
      <w:pPr>
        <w:pStyle w:val="ac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E95C9C">
        <w:rPr>
          <w:i/>
          <w:sz w:val="28"/>
          <w:szCs w:val="28"/>
        </w:rPr>
        <w:t>Фінансова структура публічних інвестицій</w:t>
      </w:r>
    </w:p>
    <w:p w14:paraId="1A46A6A8" w14:textId="77777777" w:rsidR="006A0B85" w:rsidRPr="00E95C9C" w:rsidRDefault="006A0B85" w:rsidP="006250F5">
      <w:pPr>
        <w:pStyle w:val="ac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</w:p>
    <w:p w14:paraId="7C58176B" w14:textId="696DE898" w:rsidR="006A0B85" w:rsidRPr="00E95C9C" w:rsidRDefault="006A0B85" w:rsidP="006250F5">
      <w:pPr>
        <w:pStyle w:val="ac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E95C9C">
        <w:rPr>
          <w:iCs/>
          <w:sz w:val="28"/>
          <w:szCs w:val="28"/>
        </w:rPr>
        <w:t>Орієнтовний граничний сукупний обсяг публічних інвестицій на 2026– 2028 роки в розрізі джерел фінансового забезпечення та за роками становить:</w:t>
      </w:r>
    </w:p>
    <w:p w14:paraId="55A387BE" w14:textId="77777777" w:rsidR="00476D6E" w:rsidRPr="00E95C9C" w:rsidRDefault="00476D6E" w:rsidP="006A0B85">
      <w:pPr>
        <w:pStyle w:val="ac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14:paraId="7D4171CA" w14:textId="7DC97891" w:rsidR="00B02DF2" w:rsidRPr="00E95C9C" w:rsidRDefault="008B426F" w:rsidP="00B02DF2">
      <w:pPr>
        <w:pStyle w:val="ac"/>
        <w:spacing w:before="0" w:beforeAutospacing="0" w:after="0" w:afterAutospacing="0"/>
        <w:ind w:firstLine="567"/>
        <w:jc w:val="right"/>
        <w:rPr>
          <w:iCs/>
        </w:rPr>
      </w:pPr>
      <w:r w:rsidRPr="00E95C9C">
        <w:rPr>
          <w:iCs/>
        </w:rPr>
        <w:t>Тис. грн</w:t>
      </w:r>
    </w:p>
    <w:tbl>
      <w:tblPr>
        <w:tblW w:w="962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1560"/>
        <w:gridCol w:w="1701"/>
        <w:gridCol w:w="1499"/>
        <w:gridCol w:w="1926"/>
      </w:tblGrid>
      <w:tr w:rsidR="00B02DF2" w:rsidRPr="00E95C9C" w14:paraId="0E84C371" w14:textId="77777777" w:rsidTr="008B426F">
        <w:tc>
          <w:tcPr>
            <w:tcW w:w="2943" w:type="dxa"/>
            <w:vMerge w:val="restart"/>
          </w:tcPr>
          <w:p w14:paraId="2351AD48" w14:textId="77777777" w:rsidR="00B02DF2" w:rsidRPr="00E95C9C" w:rsidRDefault="00B02DF2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5C9C">
              <w:rPr>
                <w:rFonts w:ascii="Times New Roman" w:eastAsia="Times New Roman" w:hAnsi="Times New Roman" w:cs="Times New Roman"/>
                <w:b/>
                <w:i/>
              </w:rPr>
              <w:t>Орієнтовні граничні показники</w:t>
            </w:r>
          </w:p>
        </w:tc>
        <w:tc>
          <w:tcPr>
            <w:tcW w:w="6686" w:type="dxa"/>
            <w:gridSpan w:val="4"/>
          </w:tcPr>
          <w:p w14:paraId="0F71743B" w14:textId="77777777" w:rsidR="00B02DF2" w:rsidRPr="00E95C9C" w:rsidRDefault="00B02DF2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5C9C">
              <w:rPr>
                <w:rFonts w:ascii="Times New Roman" w:eastAsia="Times New Roman" w:hAnsi="Times New Roman" w:cs="Times New Roman"/>
                <w:b/>
                <w:i/>
              </w:rPr>
              <w:t>Прогноз</w:t>
            </w:r>
          </w:p>
        </w:tc>
      </w:tr>
      <w:tr w:rsidR="00B02DF2" w:rsidRPr="00E95C9C" w14:paraId="19138274" w14:textId="77777777" w:rsidTr="00B02DF2">
        <w:tc>
          <w:tcPr>
            <w:tcW w:w="2943" w:type="dxa"/>
            <w:vMerge/>
            <w:tcBorders>
              <w:bottom w:val="single" w:sz="4" w:space="0" w:color="000000"/>
            </w:tcBorders>
          </w:tcPr>
          <w:p w14:paraId="164A8EE2" w14:textId="77777777" w:rsidR="00B02DF2" w:rsidRPr="00E95C9C" w:rsidRDefault="00B02DF2" w:rsidP="00625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</w:tcPr>
          <w:p w14:paraId="45583CDB" w14:textId="77777777" w:rsidR="00B02DF2" w:rsidRPr="00E95C9C" w:rsidRDefault="00B02DF2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5C9C">
              <w:rPr>
                <w:rFonts w:ascii="Times New Roman" w:eastAsia="Times New Roman" w:hAnsi="Times New Roman" w:cs="Times New Roman"/>
                <w:b/>
                <w:i/>
              </w:rPr>
              <w:t>2026 рік</w:t>
            </w:r>
          </w:p>
        </w:tc>
        <w:tc>
          <w:tcPr>
            <w:tcW w:w="1701" w:type="dxa"/>
          </w:tcPr>
          <w:p w14:paraId="652385B5" w14:textId="77777777" w:rsidR="00B02DF2" w:rsidRPr="00E95C9C" w:rsidRDefault="00B02DF2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5C9C">
              <w:rPr>
                <w:rFonts w:ascii="Times New Roman" w:eastAsia="Times New Roman" w:hAnsi="Times New Roman" w:cs="Times New Roman"/>
                <w:b/>
                <w:i/>
              </w:rPr>
              <w:t>2027 рік</w:t>
            </w:r>
          </w:p>
        </w:tc>
        <w:tc>
          <w:tcPr>
            <w:tcW w:w="1499" w:type="dxa"/>
          </w:tcPr>
          <w:p w14:paraId="1ECD5D07" w14:textId="77777777" w:rsidR="00B02DF2" w:rsidRPr="00E95C9C" w:rsidRDefault="00B02DF2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5C9C">
              <w:rPr>
                <w:rFonts w:ascii="Times New Roman" w:eastAsia="Times New Roman" w:hAnsi="Times New Roman" w:cs="Times New Roman"/>
                <w:b/>
                <w:i/>
              </w:rPr>
              <w:t>2028 рік</w:t>
            </w:r>
          </w:p>
        </w:tc>
        <w:tc>
          <w:tcPr>
            <w:tcW w:w="1926" w:type="dxa"/>
          </w:tcPr>
          <w:p w14:paraId="47769B14" w14:textId="6662A8D2" w:rsidR="00B02DF2" w:rsidRPr="00E95C9C" w:rsidRDefault="00256970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5C9C">
              <w:rPr>
                <w:rFonts w:ascii="Times New Roman" w:eastAsia="Times New Roman" w:hAnsi="Times New Roman" w:cs="Times New Roman"/>
                <w:b/>
                <w:i/>
              </w:rPr>
              <w:t>р</w:t>
            </w:r>
            <w:r w:rsidR="00B02DF2" w:rsidRPr="00E95C9C">
              <w:rPr>
                <w:rFonts w:ascii="Times New Roman" w:eastAsia="Times New Roman" w:hAnsi="Times New Roman" w:cs="Times New Roman"/>
                <w:b/>
                <w:i/>
              </w:rPr>
              <w:t>азом</w:t>
            </w:r>
          </w:p>
          <w:p w14:paraId="2C281752" w14:textId="48BA8624" w:rsidR="00B02DF2" w:rsidRPr="00E95C9C" w:rsidRDefault="00256970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5C9C">
              <w:rPr>
                <w:rFonts w:ascii="Times New Roman" w:eastAsia="Times New Roman" w:hAnsi="Times New Roman" w:cs="Times New Roman"/>
                <w:b/>
                <w:i/>
              </w:rPr>
              <w:t>2026-</w:t>
            </w:r>
            <w:r w:rsidR="00B02DF2" w:rsidRPr="00E95C9C">
              <w:rPr>
                <w:rFonts w:ascii="Times New Roman" w:eastAsia="Times New Roman" w:hAnsi="Times New Roman" w:cs="Times New Roman"/>
                <w:b/>
                <w:i/>
              </w:rPr>
              <w:t>2028 роки</w:t>
            </w:r>
          </w:p>
        </w:tc>
      </w:tr>
      <w:tr w:rsidR="00C06000" w:rsidRPr="00E95C9C" w14:paraId="216B0150" w14:textId="77777777" w:rsidTr="00B02DF2">
        <w:tc>
          <w:tcPr>
            <w:tcW w:w="2943" w:type="dxa"/>
          </w:tcPr>
          <w:p w14:paraId="0451D442" w14:textId="211E2944" w:rsidR="00C06000" w:rsidRPr="00E95C9C" w:rsidRDefault="00C06000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5248A45E" w14:textId="1D21C8F5" w:rsidR="00C06000" w:rsidRPr="00E95C9C" w:rsidRDefault="00C06000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47D6936C" w14:textId="34271BC6" w:rsidR="00C06000" w:rsidRPr="00E95C9C" w:rsidRDefault="00C06000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99" w:type="dxa"/>
          </w:tcPr>
          <w:p w14:paraId="0DE277F2" w14:textId="5B613A51" w:rsidR="00C06000" w:rsidRPr="00E95C9C" w:rsidRDefault="00C06000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6" w:type="dxa"/>
          </w:tcPr>
          <w:p w14:paraId="44202CFF" w14:textId="3C0728E4" w:rsidR="00C06000" w:rsidRPr="00E95C9C" w:rsidRDefault="00C06000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02DF2" w:rsidRPr="00E95C9C" w14:paraId="13D6F625" w14:textId="77777777" w:rsidTr="005B47A7">
        <w:trPr>
          <w:trHeight w:val="1260"/>
        </w:trPr>
        <w:tc>
          <w:tcPr>
            <w:tcW w:w="2943" w:type="dxa"/>
          </w:tcPr>
          <w:p w14:paraId="1C805191" w14:textId="77777777" w:rsidR="00B02DF2" w:rsidRPr="00E95C9C" w:rsidRDefault="00B02DF2" w:rsidP="006250F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E95C9C">
              <w:rPr>
                <w:rFonts w:ascii="Times New Roman" w:eastAsia="Times New Roman" w:hAnsi="Times New Roman" w:cs="Times New Roman"/>
                <w:b/>
              </w:rPr>
              <w:t>Орієнтовний граничний сукупний обсяг публічних інвестицій, у тому числі за рахунок:</w:t>
            </w:r>
          </w:p>
        </w:tc>
        <w:tc>
          <w:tcPr>
            <w:tcW w:w="1560" w:type="dxa"/>
          </w:tcPr>
          <w:p w14:paraId="01C5EEB6" w14:textId="70096C63" w:rsidR="00B02DF2" w:rsidRPr="00E95C9C" w:rsidRDefault="00510CD1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C9C">
              <w:rPr>
                <w:rFonts w:ascii="Times New Roman" w:eastAsia="Times New Roman" w:hAnsi="Times New Roman" w:cs="Times New Roman"/>
                <w:b/>
              </w:rPr>
              <w:t>1 016 349</w:t>
            </w:r>
            <w:r w:rsidR="00B02DF2" w:rsidRPr="00E95C9C">
              <w:rPr>
                <w:rFonts w:ascii="Times New Roman" w:eastAsia="Times New Roman" w:hAnsi="Times New Roman" w:cs="Times New Roman"/>
                <w:b/>
              </w:rPr>
              <w:t>,06</w:t>
            </w:r>
          </w:p>
        </w:tc>
        <w:tc>
          <w:tcPr>
            <w:tcW w:w="1701" w:type="dxa"/>
          </w:tcPr>
          <w:p w14:paraId="21637717" w14:textId="6381D683" w:rsidR="00B02DF2" w:rsidRPr="00E95C9C" w:rsidRDefault="00510CD1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C9C">
              <w:rPr>
                <w:rFonts w:ascii="Times New Roman" w:eastAsia="Times New Roman" w:hAnsi="Times New Roman" w:cs="Times New Roman"/>
                <w:b/>
              </w:rPr>
              <w:t>540</w:t>
            </w:r>
            <w:r w:rsidR="00B02DF2" w:rsidRPr="00E95C9C">
              <w:rPr>
                <w:rFonts w:ascii="Times New Roman" w:eastAsia="Times New Roman" w:hAnsi="Times New Roman" w:cs="Times New Roman"/>
                <w:b/>
              </w:rPr>
              <w:t>143,00</w:t>
            </w:r>
          </w:p>
        </w:tc>
        <w:tc>
          <w:tcPr>
            <w:tcW w:w="1499" w:type="dxa"/>
          </w:tcPr>
          <w:p w14:paraId="7FDC5EF5" w14:textId="04913CE5" w:rsidR="00B02DF2" w:rsidRPr="00E95C9C" w:rsidRDefault="00B02DF2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C9C">
              <w:rPr>
                <w:rFonts w:ascii="Times New Roman" w:eastAsia="Times New Roman" w:hAnsi="Times New Roman" w:cs="Times New Roman"/>
                <w:b/>
              </w:rPr>
              <w:t>880 143,00</w:t>
            </w:r>
          </w:p>
        </w:tc>
        <w:tc>
          <w:tcPr>
            <w:tcW w:w="1926" w:type="dxa"/>
          </w:tcPr>
          <w:p w14:paraId="4433D749" w14:textId="75F85DE8" w:rsidR="00B02DF2" w:rsidRPr="00E95C9C" w:rsidRDefault="00510CD1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95C9C">
              <w:rPr>
                <w:rFonts w:ascii="Times New Roman" w:eastAsia="Times New Roman" w:hAnsi="Times New Roman" w:cs="Times New Roman"/>
                <w:b/>
              </w:rPr>
              <w:t>2 4</w:t>
            </w:r>
            <w:r w:rsidR="00B02DF2" w:rsidRPr="00E95C9C">
              <w:rPr>
                <w:rFonts w:ascii="Times New Roman" w:eastAsia="Times New Roman" w:hAnsi="Times New Roman" w:cs="Times New Roman"/>
                <w:b/>
              </w:rPr>
              <w:t>36 635,06</w:t>
            </w:r>
          </w:p>
        </w:tc>
      </w:tr>
      <w:tr w:rsidR="00B02DF2" w:rsidRPr="00E95C9C" w14:paraId="611E50D4" w14:textId="77777777" w:rsidTr="005B47A7">
        <w:trPr>
          <w:trHeight w:val="1278"/>
        </w:trPr>
        <w:tc>
          <w:tcPr>
            <w:tcW w:w="2943" w:type="dxa"/>
          </w:tcPr>
          <w:p w14:paraId="38ADAF20" w14:textId="652EEB18" w:rsidR="00B02DF2" w:rsidRPr="00E95C9C" w:rsidRDefault="00256970" w:rsidP="006250F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коштів</w:t>
            </w:r>
            <w:r w:rsidR="00B02DF2" w:rsidRPr="00E95C9C">
              <w:rPr>
                <w:rFonts w:ascii="Times New Roman" w:eastAsia="Times New Roman" w:hAnsi="Times New Roman" w:cs="Times New Roman"/>
              </w:rPr>
              <w:t xml:space="preserve"> бюджету</w:t>
            </w:r>
            <w:r w:rsidRPr="00E95C9C">
              <w:rPr>
                <w:rFonts w:ascii="Times New Roman" w:eastAsia="Times New Roman" w:hAnsi="Times New Roman" w:cs="Times New Roman"/>
              </w:rPr>
              <w:t xml:space="preserve"> Криворізької міської територіальної громади</w:t>
            </w:r>
            <w:r w:rsidR="00B02DF2" w:rsidRPr="00E95C9C">
              <w:rPr>
                <w:rFonts w:ascii="Times New Roman" w:eastAsia="Times New Roman" w:hAnsi="Times New Roman" w:cs="Times New Roman"/>
              </w:rPr>
              <w:t xml:space="preserve">, </w:t>
            </w:r>
            <w:r w:rsidR="00B02DF2" w:rsidRPr="00E95C9C">
              <w:rPr>
                <w:rFonts w:ascii="Times New Roman" w:eastAsia="Times New Roman" w:hAnsi="Times New Roman" w:cs="Times New Roman"/>
                <w:i/>
              </w:rPr>
              <w:t>у тому числі:</w:t>
            </w:r>
          </w:p>
        </w:tc>
        <w:tc>
          <w:tcPr>
            <w:tcW w:w="1560" w:type="dxa"/>
          </w:tcPr>
          <w:p w14:paraId="7A24359D" w14:textId="13472DB4" w:rsidR="00B02DF2" w:rsidRPr="00E95C9C" w:rsidRDefault="00510CD1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5</w:t>
            </w:r>
            <w:r w:rsidR="00B02DF2" w:rsidRPr="00E95C9C">
              <w:rPr>
                <w:rFonts w:ascii="Times New Roman" w:eastAsia="Times New Roman" w:hAnsi="Times New Roman" w:cs="Times New Roman"/>
              </w:rPr>
              <w:t>16 206,06</w:t>
            </w:r>
          </w:p>
        </w:tc>
        <w:tc>
          <w:tcPr>
            <w:tcW w:w="1701" w:type="dxa"/>
          </w:tcPr>
          <w:p w14:paraId="5A29C3D1" w14:textId="13FC667A" w:rsidR="00B02DF2" w:rsidRPr="00E95C9C" w:rsidRDefault="00B02DF2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540 000,00</w:t>
            </w:r>
          </w:p>
        </w:tc>
        <w:tc>
          <w:tcPr>
            <w:tcW w:w="1499" w:type="dxa"/>
          </w:tcPr>
          <w:p w14:paraId="0F4A0577" w14:textId="54F4194E" w:rsidR="00B02DF2" w:rsidRPr="00E95C9C" w:rsidRDefault="00B02DF2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880 000,00</w:t>
            </w:r>
          </w:p>
        </w:tc>
        <w:tc>
          <w:tcPr>
            <w:tcW w:w="1926" w:type="dxa"/>
          </w:tcPr>
          <w:p w14:paraId="25C06639" w14:textId="192597FD" w:rsidR="00B02DF2" w:rsidRPr="00E95C9C" w:rsidRDefault="00510CD1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1 9</w:t>
            </w:r>
            <w:r w:rsidR="00B02DF2" w:rsidRPr="00E95C9C">
              <w:rPr>
                <w:rFonts w:ascii="Times New Roman" w:eastAsia="Times New Roman" w:hAnsi="Times New Roman" w:cs="Times New Roman"/>
              </w:rPr>
              <w:t>36 206,06</w:t>
            </w:r>
          </w:p>
        </w:tc>
      </w:tr>
      <w:tr w:rsidR="00B02DF2" w:rsidRPr="00E95C9C" w14:paraId="79AD0631" w14:textId="77777777" w:rsidTr="005B47A7">
        <w:trPr>
          <w:trHeight w:val="3536"/>
        </w:trPr>
        <w:tc>
          <w:tcPr>
            <w:tcW w:w="2943" w:type="dxa"/>
          </w:tcPr>
          <w:p w14:paraId="630FB0BA" w14:textId="2DF198DC" w:rsidR="00B02DF2" w:rsidRPr="00E95C9C" w:rsidRDefault="00B02DF2" w:rsidP="006250F5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E95C9C">
              <w:rPr>
                <w:rFonts w:ascii="Times New Roman" w:eastAsia="Times New Roman" w:hAnsi="Times New Roman" w:cs="Times New Roman"/>
                <w:i/>
              </w:rPr>
              <w:t>співфінансування</w:t>
            </w:r>
            <w:proofErr w:type="spellEnd"/>
            <w:r w:rsidRPr="00E95C9C">
              <w:rPr>
                <w:rFonts w:ascii="Times New Roman" w:eastAsia="Times New Roman" w:hAnsi="Times New Roman" w:cs="Times New Roman"/>
                <w:i/>
              </w:rPr>
              <w:t xml:space="preserve"> заходів щодо підготовки та реалізації пуб</w:t>
            </w:r>
            <w:r w:rsidR="00256970" w:rsidRPr="00E95C9C">
              <w:rPr>
                <w:rFonts w:ascii="Times New Roman" w:eastAsia="Times New Roman" w:hAnsi="Times New Roman" w:cs="Times New Roman"/>
                <w:i/>
              </w:rPr>
              <w:t>лічних інвестиційних проектів і</w:t>
            </w:r>
            <w:r w:rsidRPr="00E95C9C">
              <w:rPr>
                <w:rFonts w:ascii="Times New Roman" w:eastAsia="Times New Roman" w:hAnsi="Times New Roman" w:cs="Times New Roman"/>
                <w:i/>
              </w:rPr>
              <w:t xml:space="preserve"> пр</w:t>
            </w:r>
            <w:r w:rsidR="00256970" w:rsidRPr="00E95C9C">
              <w:rPr>
                <w:rFonts w:ascii="Times New Roman" w:eastAsia="Times New Roman" w:hAnsi="Times New Roman" w:cs="Times New Roman"/>
                <w:i/>
              </w:rPr>
              <w:t>ограм публічних інвестицій (</w:t>
            </w:r>
            <w:proofErr w:type="spellStart"/>
            <w:r w:rsidR="00256970" w:rsidRPr="00E95C9C">
              <w:rPr>
                <w:rFonts w:ascii="Times New Roman" w:eastAsia="Times New Roman" w:hAnsi="Times New Roman" w:cs="Times New Roman"/>
                <w:i/>
              </w:rPr>
              <w:t>проє</w:t>
            </w:r>
            <w:r w:rsidRPr="00E95C9C">
              <w:rPr>
                <w:rFonts w:ascii="Times New Roman" w:eastAsia="Times New Roman" w:hAnsi="Times New Roman" w:cs="Times New Roman"/>
                <w:i/>
              </w:rPr>
              <w:t>кт</w:t>
            </w:r>
            <w:proofErr w:type="spellEnd"/>
            <w:r w:rsidRPr="00E95C9C">
              <w:rPr>
                <w:rFonts w:ascii="Times New Roman" w:eastAsia="Times New Roman" w:hAnsi="Times New Roman" w:cs="Times New Roman"/>
                <w:i/>
              </w:rPr>
              <w:t xml:space="preserve"> ЄБРР «Підвищення енергоефективності громадських будівель у місті Кр</w:t>
            </w:r>
            <w:r w:rsidR="00256970" w:rsidRPr="00E95C9C">
              <w:rPr>
                <w:rFonts w:ascii="Times New Roman" w:eastAsia="Times New Roman" w:hAnsi="Times New Roman" w:cs="Times New Roman"/>
                <w:i/>
              </w:rPr>
              <w:t>ивому Розі», що реаліз</w:t>
            </w:r>
            <w:r w:rsidR="005B47A7" w:rsidRPr="00E95C9C">
              <w:rPr>
                <w:rFonts w:ascii="Times New Roman" w:eastAsia="Times New Roman" w:hAnsi="Times New Roman" w:cs="Times New Roman"/>
                <w:i/>
              </w:rPr>
              <w:t>ується КП</w:t>
            </w:r>
            <w:r w:rsidR="00256970" w:rsidRPr="00E95C9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95C9C">
              <w:rPr>
                <w:rFonts w:ascii="Times New Roman" w:eastAsia="Times New Roman" w:hAnsi="Times New Roman" w:cs="Times New Roman"/>
                <w:i/>
              </w:rPr>
              <w:t>«</w:t>
            </w:r>
            <w:proofErr w:type="spellStart"/>
            <w:r w:rsidRPr="00E95C9C">
              <w:rPr>
                <w:rFonts w:ascii="Times New Roman" w:eastAsia="Times New Roman" w:hAnsi="Times New Roman" w:cs="Times New Roman"/>
                <w:i/>
              </w:rPr>
              <w:t>Кривбастеплоенерго</w:t>
            </w:r>
            <w:proofErr w:type="spellEnd"/>
            <w:r w:rsidRPr="00E95C9C">
              <w:rPr>
                <w:rFonts w:ascii="Times New Roman" w:eastAsia="Times New Roman" w:hAnsi="Times New Roman" w:cs="Times New Roman"/>
                <w:i/>
              </w:rPr>
              <w:t xml:space="preserve">») </w:t>
            </w:r>
          </w:p>
        </w:tc>
        <w:tc>
          <w:tcPr>
            <w:tcW w:w="1560" w:type="dxa"/>
          </w:tcPr>
          <w:p w14:paraId="6BFBB5FF" w14:textId="6C66DCE1" w:rsidR="00B02DF2" w:rsidRPr="00E95C9C" w:rsidRDefault="00B02DF2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16 206,06</w:t>
            </w:r>
          </w:p>
        </w:tc>
        <w:tc>
          <w:tcPr>
            <w:tcW w:w="1701" w:type="dxa"/>
          </w:tcPr>
          <w:p w14:paraId="3281DD17" w14:textId="77777777" w:rsidR="00B02DF2" w:rsidRPr="00E95C9C" w:rsidRDefault="00B02DF2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99" w:type="dxa"/>
          </w:tcPr>
          <w:p w14:paraId="3B0B9319" w14:textId="77777777" w:rsidR="00B02DF2" w:rsidRPr="00E95C9C" w:rsidRDefault="00B02DF2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26" w:type="dxa"/>
          </w:tcPr>
          <w:p w14:paraId="4616F475" w14:textId="39D2F0A6" w:rsidR="00B02DF2" w:rsidRPr="00E95C9C" w:rsidRDefault="00B02DF2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16 206,06</w:t>
            </w:r>
          </w:p>
        </w:tc>
      </w:tr>
      <w:tr w:rsidR="00B02DF2" w:rsidRPr="00E95C9C" w14:paraId="1BBAF6BC" w14:textId="77777777" w:rsidTr="005B47A7">
        <w:trPr>
          <w:trHeight w:val="635"/>
        </w:trPr>
        <w:tc>
          <w:tcPr>
            <w:tcW w:w="2943" w:type="dxa"/>
          </w:tcPr>
          <w:p w14:paraId="7DD36FE5" w14:textId="77777777" w:rsidR="00B02DF2" w:rsidRPr="00E95C9C" w:rsidRDefault="00B02DF2" w:rsidP="006250F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місцевих запозичень</w:t>
            </w:r>
          </w:p>
        </w:tc>
        <w:tc>
          <w:tcPr>
            <w:tcW w:w="1560" w:type="dxa"/>
          </w:tcPr>
          <w:p w14:paraId="3378AC30" w14:textId="41349601" w:rsidR="00B02DF2" w:rsidRPr="00E95C9C" w:rsidRDefault="00B02DF2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500 000,00</w:t>
            </w:r>
          </w:p>
        </w:tc>
        <w:tc>
          <w:tcPr>
            <w:tcW w:w="1701" w:type="dxa"/>
          </w:tcPr>
          <w:p w14:paraId="37727AFD" w14:textId="77777777" w:rsidR="00B02DF2" w:rsidRPr="00E95C9C" w:rsidRDefault="00B02DF2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99" w:type="dxa"/>
          </w:tcPr>
          <w:p w14:paraId="3DE515AD" w14:textId="77777777" w:rsidR="00B02DF2" w:rsidRPr="00E95C9C" w:rsidRDefault="00B02DF2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26" w:type="dxa"/>
          </w:tcPr>
          <w:p w14:paraId="187D588E" w14:textId="196B7E5B" w:rsidR="00B02DF2" w:rsidRPr="00E95C9C" w:rsidRDefault="00B02DF2" w:rsidP="006250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C06000" w:rsidRPr="00E95C9C" w14:paraId="67689767" w14:textId="77777777" w:rsidTr="00B02DF2">
        <w:tc>
          <w:tcPr>
            <w:tcW w:w="2943" w:type="dxa"/>
          </w:tcPr>
          <w:p w14:paraId="5020BAE3" w14:textId="2BFE94D4" w:rsidR="00C06000" w:rsidRPr="00E95C9C" w:rsidRDefault="00C06000" w:rsidP="00C0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</w:tcPr>
          <w:p w14:paraId="12AE6674" w14:textId="60A04A94" w:rsidR="00C06000" w:rsidRPr="00E95C9C" w:rsidRDefault="00C06000" w:rsidP="00C0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479D32FA" w14:textId="0059E723" w:rsidR="00C06000" w:rsidRPr="00E95C9C" w:rsidRDefault="00C06000" w:rsidP="00C0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99" w:type="dxa"/>
          </w:tcPr>
          <w:p w14:paraId="74B97B8E" w14:textId="1404D540" w:rsidR="00C06000" w:rsidRPr="00E95C9C" w:rsidRDefault="00C06000" w:rsidP="00C0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6" w:type="dxa"/>
          </w:tcPr>
          <w:p w14:paraId="0AC5F585" w14:textId="1875C02F" w:rsidR="00C06000" w:rsidRPr="00E95C9C" w:rsidRDefault="00C06000" w:rsidP="00C0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02DF2" w:rsidRPr="00E95C9C" w14:paraId="63732CC8" w14:textId="77777777" w:rsidTr="00B02DF2">
        <w:tc>
          <w:tcPr>
            <w:tcW w:w="2943" w:type="dxa"/>
          </w:tcPr>
          <w:p w14:paraId="6E985825" w14:textId="5CC2ECAE" w:rsidR="00B02DF2" w:rsidRPr="00E95C9C" w:rsidRDefault="00B02DF2" w:rsidP="00B02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інших джерел (повернення кредитів, наданих з бюджету Криворізької міської територіальної громади молодим сім’ям та одиноким молодим громадянам на будівництво (реконструкцію) та придбання житла</w:t>
            </w:r>
            <w:r w:rsidR="005B47A7" w:rsidRPr="00E95C9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14:paraId="657A7914" w14:textId="77777777" w:rsidR="00B02DF2" w:rsidRPr="00E95C9C" w:rsidRDefault="00B02DF2" w:rsidP="00B0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143,00</w:t>
            </w:r>
          </w:p>
        </w:tc>
        <w:tc>
          <w:tcPr>
            <w:tcW w:w="1701" w:type="dxa"/>
          </w:tcPr>
          <w:p w14:paraId="2683D500" w14:textId="77777777" w:rsidR="00B02DF2" w:rsidRPr="00E95C9C" w:rsidRDefault="00B02DF2" w:rsidP="00B0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143,00</w:t>
            </w:r>
          </w:p>
        </w:tc>
        <w:tc>
          <w:tcPr>
            <w:tcW w:w="1499" w:type="dxa"/>
          </w:tcPr>
          <w:p w14:paraId="2A8F2796" w14:textId="77777777" w:rsidR="00B02DF2" w:rsidRPr="00E95C9C" w:rsidRDefault="00B02DF2" w:rsidP="00B0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143,00</w:t>
            </w:r>
          </w:p>
        </w:tc>
        <w:tc>
          <w:tcPr>
            <w:tcW w:w="1926" w:type="dxa"/>
          </w:tcPr>
          <w:p w14:paraId="50EE5D03" w14:textId="77777777" w:rsidR="00B02DF2" w:rsidRPr="00E95C9C" w:rsidRDefault="00B02DF2" w:rsidP="00B0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429,00</w:t>
            </w:r>
          </w:p>
        </w:tc>
      </w:tr>
    </w:tbl>
    <w:p w14:paraId="1AC16232" w14:textId="77777777" w:rsidR="00476D6E" w:rsidRPr="00E95C9C" w:rsidRDefault="00476D6E" w:rsidP="00A10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44BF" w14:textId="5C484DD7" w:rsidR="00A101FA" w:rsidRPr="00E95C9C" w:rsidRDefault="00A101FA" w:rsidP="00A10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9C">
        <w:rPr>
          <w:rFonts w:ascii="Times New Roman" w:eastAsia="Times New Roman" w:hAnsi="Times New Roman" w:cs="Times New Roman"/>
          <w:sz w:val="28"/>
          <w:szCs w:val="28"/>
        </w:rPr>
        <w:t>Розподіл орієнтовного граничного сукупного обсягу пуб</w:t>
      </w:r>
      <w:r w:rsidR="00F063DD" w:rsidRPr="00E95C9C">
        <w:rPr>
          <w:rFonts w:ascii="Times New Roman" w:eastAsia="Times New Roman" w:hAnsi="Times New Roman" w:cs="Times New Roman"/>
          <w:sz w:val="28"/>
          <w:szCs w:val="28"/>
        </w:rPr>
        <w:t>лічних інвестицій на 2026–</w:t>
      </w:r>
      <w:r w:rsidRPr="00E95C9C">
        <w:rPr>
          <w:rFonts w:ascii="Times New Roman" w:eastAsia="Times New Roman" w:hAnsi="Times New Roman" w:cs="Times New Roman"/>
          <w:sz w:val="28"/>
          <w:szCs w:val="28"/>
        </w:rPr>
        <w:t>2028 роки на сектори (галузі) для публічного інвестування в межах доведеного департаментом фінансів орієнтовного граничного сукупного обсягу публічних інвестицій на середньостроковий період має таку структуру:</w:t>
      </w:r>
    </w:p>
    <w:p w14:paraId="4BC8E054" w14:textId="77777777" w:rsidR="00476D6E" w:rsidRPr="00E95C9C" w:rsidRDefault="00476D6E" w:rsidP="00A10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0CBF8" w14:textId="26B978DD" w:rsidR="00CA560B" w:rsidRPr="00E95C9C" w:rsidRDefault="008B426F" w:rsidP="00D44D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E95C9C">
        <w:rPr>
          <w:rFonts w:ascii="Times New Roman" w:eastAsia="Times New Roman" w:hAnsi="Times New Roman" w:cs="Times New Roman"/>
        </w:rPr>
        <w:t>Тис. грн</w:t>
      </w:r>
    </w:p>
    <w:tbl>
      <w:tblPr>
        <w:tblW w:w="962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701"/>
        <w:gridCol w:w="1712"/>
        <w:gridCol w:w="1805"/>
        <w:gridCol w:w="2318"/>
      </w:tblGrid>
      <w:tr w:rsidR="00F063DD" w:rsidRPr="00E95C9C" w14:paraId="7CB9DB2A" w14:textId="77777777" w:rsidTr="00223833">
        <w:trPr>
          <w:trHeight w:val="353"/>
        </w:trPr>
        <w:tc>
          <w:tcPr>
            <w:tcW w:w="2093" w:type="dxa"/>
            <w:vMerge w:val="restart"/>
          </w:tcPr>
          <w:p w14:paraId="0A6DA949" w14:textId="362806B8" w:rsidR="00F063DD" w:rsidRPr="00E95C9C" w:rsidRDefault="00F063DD" w:rsidP="005A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5C9C">
              <w:rPr>
                <w:rFonts w:ascii="Times New Roman" w:eastAsia="Times New Roman" w:hAnsi="Times New Roman" w:cs="Times New Roman"/>
                <w:b/>
                <w:i/>
              </w:rPr>
              <w:t>Галузь (сектор)</w:t>
            </w:r>
          </w:p>
        </w:tc>
        <w:tc>
          <w:tcPr>
            <w:tcW w:w="7536" w:type="dxa"/>
            <w:gridSpan w:val="4"/>
          </w:tcPr>
          <w:p w14:paraId="16EF7DCD" w14:textId="08B38EA6" w:rsidR="00F063DD" w:rsidRPr="00E95C9C" w:rsidRDefault="00DE6717" w:rsidP="005A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5C9C">
              <w:rPr>
                <w:rFonts w:ascii="Times New Roman" w:eastAsia="Times New Roman" w:hAnsi="Times New Roman" w:cs="Times New Roman"/>
                <w:b/>
                <w:i/>
              </w:rPr>
              <w:t>Орієнтовний граничний</w:t>
            </w:r>
            <w:r w:rsidR="00F063DD" w:rsidRPr="00E95C9C">
              <w:rPr>
                <w:rFonts w:ascii="Times New Roman" w:eastAsia="Times New Roman" w:hAnsi="Times New Roman" w:cs="Times New Roman"/>
                <w:b/>
                <w:i/>
              </w:rPr>
              <w:t xml:space="preserve"> обсяг публічних інвестицій</w:t>
            </w:r>
            <w:r w:rsidRPr="00E95C9C">
              <w:rPr>
                <w:rFonts w:ascii="Times New Roman" w:eastAsia="Times New Roman" w:hAnsi="Times New Roman" w:cs="Times New Roman"/>
                <w:b/>
                <w:i/>
              </w:rPr>
              <w:t xml:space="preserve"> за галузями</w:t>
            </w:r>
          </w:p>
        </w:tc>
      </w:tr>
      <w:tr w:rsidR="00F063DD" w:rsidRPr="00E95C9C" w14:paraId="27A87875" w14:textId="77777777" w:rsidTr="005A7DAF">
        <w:tc>
          <w:tcPr>
            <w:tcW w:w="2093" w:type="dxa"/>
            <w:vMerge/>
          </w:tcPr>
          <w:p w14:paraId="332A9689" w14:textId="5AF64E55" w:rsidR="00F063DD" w:rsidRPr="00E95C9C" w:rsidRDefault="00F063DD" w:rsidP="005A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03DDD905" w14:textId="7F4F8335" w:rsidR="00F063DD" w:rsidRPr="00E95C9C" w:rsidRDefault="00F063DD" w:rsidP="005A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5C9C">
              <w:rPr>
                <w:rFonts w:ascii="Times New Roman" w:eastAsia="Times New Roman" w:hAnsi="Times New Roman" w:cs="Times New Roman"/>
                <w:b/>
                <w:i/>
              </w:rPr>
              <w:t>на 2026 рік</w:t>
            </w:r>
          </w:p>
        </w:tc>
        <w:tc>
          <w:tcPr>
            <w:tcW w:w="1712" w:type="dxa"/>
          </w:tcPr>
          <w:p w14:paraId="70DB40B9" w14:textId="28699472" w:rsidR="00F063DD" w:rsidRPr="00E95C9C" w:rsidRDefault="00F063DD" w:rsidP="005A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5C9C">
              <w:rPr>
                <w:rFonts w:ascii="Times New Roman" w:eastAsia="Times New Roman" w:hAnsi="Times New Roman" w:cs="Times New Roman"/>
                <w:b/>
                <w:i/>
              </w:rPr>
              <w:t>на 2027 рік</w:t>
            </w:r>
          </w:p>
        </w:tc>
        <w:tc>
          <w:tcPr>
            <w:tcW w:w="1805" w:type="dxa"/>
          </w:tcPr>
          <w:p w14:paraId="264EE3FB" w14:textId="7570AD8E" w:rsidR="00F063DD" w:rsidRPr="00E95C9C" w:rsidRDefault="00F063DD" w:rsidP="005A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5C9C">
              <w:rPr>
                <w:rFonts w:ascii="Times New Roman" w:eastAsia="Times New Roman" w:hAnsi="Times New Roman" w:cs="Times New Roman"/>
                <w:b/>
                <w:i/>
              </w:rPr>
              <w:t>на 2028 рік</w:t>
            </w:r>
          </w:p>
        </w:tc>
        <w:tc>
          <w:tcPr>
            <w:tcW w:w="2318" w:type="dxa"/>
          </w:tcPr>
          <w:p w14:paraId="44FDC589" w14:textId="73351DD4" w:rsidR="00223833" w:rsidRPr="00E95C9C" w:rsidRDefault="00223833" w:rsidP="002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5C9C">
              <w:rPr>
                <w:rFonts w:ascii="Times New Roman" w:eastAsia="Times New Roman" w:hAnsi="Times New Roman" w:cs="Times New Roman"/>
                <w:b/>
                <w:i/>
              </w:rPr>
              <w:t xml:space="preserve">на </w:t>
            </w:r>
          </w:p>
          <w:p w14:paraId="3B8CE7E1" w14:textId="34F018A9" w:rsidR="00F063DD" w:rsidRPr="00E95C9C" w:rsidRDefault="00223833" w:rsidP="002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5C9C">
              <w:rPr>
                <w:rFonts w:ascii="Times New Roman" w:eastAsia="Times New Roman" w:hAnsi="Times New Roman" w:cs="Times New Roman"/>
                <w:b/>
                <w:i/>
              </w:rPr>
              <w:t>2026</w:t>
            </w:r>
            <w:r w:rsidRPr="00E95C9C">
              <w:rPr>
                <w:rFonts w:ascii="Times New Roman" w:eastAsia="Times New Roman" w:hAnsi="Times New Roman" w:cs="Times New Roman"/>
                <w:i/>
              </w:rPr>
              <w:t>–</w:t>
            </w:r>
            <w:r w:rsidRPr="00E95C9C">
              <w:rPr>
                <w:rFonts w:ascii="Times New Roman" w:eastAsia="Times New Roman" w:hAnsi="Times New Roman" w:cs="Times New Roman"/>
                <w:b/>
                <w:i/>
              </w:rPr>
              <w:t>2028 рр.</w:t>
            </w:r>
          </w:p>
        </w:tc>
      </w:tr>
      <w:tr w:rsidR="008F0907" w:rsidRPr="00E95C9C" w14:paraId="2B60A281" w14:textId="77777777" w:rsidTr="00184080">
        <w:tc>
          <w:tcPr>
            <w:tcW w:w="2093" w:type="dxa"/>
            <w:shd w:val="clear" w:color="auto" w:fill="FFFFFF"/>
          </w:tcPr>
          <w:p w14:paraId="0521F28E" w14:textId="0790411F" w:rsidR="008F0907" w:rsidRPr="00E95C9C" w:rsidRDefault="008F0907" w:rsidP="008F0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Муніципальна інфраструктура та послуги </w:t>
            </w:r>
          </w:p>
        </w:tc>
        <w:tc>
          <w:tcPr>
            <w:tcW w:w="1701" w:type="dxa"/>
          </w:tcPr>
          <w:p w14:paraId="0262E118" w14:textId="5E3F6C65" w:rsidR="008F0907" w:rsidRPr="00E95C9C" w:rsidRDefault="00C5210F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 xml:space="preserve">739 </w:t>
            </w:r>
            <w:r w:rsidR="00161320" w:rsidRPr="00E95C9C">
              <w:rPr>
                <w:rFonts w:ascii="Times New Roman" w:hAnsi="Times New Roman" w:cs="Times New Roman"/>
              </w:rPr>
              <w:t>006</w:t>
            </w:r>
            <w:r w:rsidRPr="00E95C9C">
              <w:rPr>
                <w:rFonts w:ascii="Times New Roman" w:hAnsi="Times New Roman" w:cs="Times New Roman"/>
              </w:rPr>
              <w:t>,</w:t>
            </w:r>
            <w:r w:rsidR="00161320" w:rsidRPr="00E95C9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12" w:type="dxa"/>
          </w:tcPr>
          <w:p w14:paraId="26620F57" w14:textId="3796DD0B" w:rsidR="008F0907" w:rsidRPr="00E95C9C" w:rsidRDefault="0027609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375</w:t>
            </w:r>
            <w:r w:rsidR="008F0907" w:rsidRPr="00E95C9C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805" w:type="dxa"/>
          </w:tcPr>
          <w:p w14:paraId="1AF34A3C" w14:textId="01EEA8CB" w:rsidR="008F0907" w:rsidRPr="00E95C9C" w:rsidRDefault="0027609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54</w:t>
            </w:r>
            <w:r w:rsidR="008F0907" w:rsidRPr="00E95C9C">
              <w:rPr>
                <w:rFonts w:ascii="Times New Roman" w:hAnsi="Times New Roman" w:cs="Times New Roman"/>
              </w:rPr>
              <w:t>8 000,00</w:t>
            </w:r>
          </w:p>
        </w:tc>
        <w:tc>
          <w:tcPr>
            <w:tcW w:w="2318" w:type="dxa"/>
          </w:tcPr>
          <w:p w14:paraId="0273B12C" w14:textId="20484CD0" w:rsidR="008F0907" w:rsidRPr="00E95C9C" w:rsidRDefault="00C5210F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  <w:b/>
                <w:bCs/>
              </w:rPr>
              <w:t xml:space="preserve">1 662 </w:t>
            </w:r>
            <w:r w:rsidR="00161320" w:rsidRPr="00E95C9C">
              <w:rPr>
                <w:rFonts w:ascii="Times New Roman" w:hAnsi="Times New Roman" w:cs="Times New Roman"/>
                <w:b/>
                <w:bCs/>
              </w:rPr>
              <w:t>006</w:t>
            </w:r>
            <w:r w:rsidRPr="00E95C9C">
              <w:rPr>
                <w:rFonts w:ascii="Times New Roman" w:hAnsi="Times New Roman" w:cs="Times New Roman"/>
                <w:b/>
                <w:bCs/>
              </w:rPr>
              <w:t>,</w:t>
            </w:r>
            <w:r w:rsidR="00161320" w:rsidRPr="00E95C9C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</w:tr>
      <w:tr w:rsidR="008F0907" w:rsidRPr="00E95C9C" w14:paraId="6F7510A3" w14:textId="77777777" w:rsidTr="00C06000">
        <w:trPr>
          <w:trHeight w:val="397"/>
        </w:trPr>
        <w:tc>
          <w:tcPr>
            <w:tcW w:w="2093" w:type="dxa"/>
            <w:shd w:val="clear" w:color="auto" w:fill="FFFFFF"/>
          </w:tcPr>
          <w:p w14:paraId="3546E736" w14:textId="441EEDA5" w:rsidR="008F0907" w:rsidRPr="00E95C9C" w:rsidRDefault="008F0907" w:rsidP="008F0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Транспорт </w:t>
            </w:r>
          </w:p>
        </w:tc>
        <w:tc>
          <w:tcPr>
            <w:tcW w:w="1701" w:type="dxa"/>
          </w:tcPr>
          <w:p w14:paraId="7C20E3DF" w14:textId="38D9BF97" w:rsidR="008F0907" w:rsidRPr="00E95C9C" w:rsidRDefault="0027609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44</w:t>
            </w:r>
            <w:r w:rsidR="008F0907" w:rsidRPr="00E95C9C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712" w:type="dxa"/>
          </w:tcPr>
          <w:p w14:paraId="14D2D960" w14:textId="69EDBA76" w:rsidR="008F0907" w:rsidRPr="00E95C9C" w:rsidRDefault="008F0907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805" w:type="dxa"/>
          </w:tcPr>
          <w:p w14:paraId="77E9F8FC" w14:textId="48AB3B3D" w:rsidR="008F0907" w:rsidRPr="00E95C9C" w:rsidRDefault="0027609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9</w:t>
            </w:r>
            <w:r w:rsidR="008F0907" w:rsidRPr="00E95C9C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2318" w:type="dxa"/>
          </w:tcPr>
          <w:p w14:paraId="6601D5D4" w14:textId="6776EE00" w:rsidR="008F0907" w:rsidRPr="00E95C9C" w:rsidRDefault="0027609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  <w:b/>
                <w:bCs/>
              </w:rPr>
              <w:t>154</w:t>
            </w:r>
            <w:r w:rsidR="008F0907" w:rsidRPr="00E95C9C">
              <w:rPr>
                <w:rFonts w:ascii="Times New Roman" w:hAnsi="Times New Roman" w:cs="Times New Roman"/>
                <w:b/>
                <w:bCs/>
              </w:rPr>
              <w:t xml:space="preserve"> 000,00</w:t>
            </w:r>
          </w:p>
        </w:tc>
      </w:tr>
      <w:tr w:rsidR="008F0907" w:rsidRPr="00E95C9C" w14:paraId="51A4D5E9" w14:textId="77777777" w:rsidTr="00C06000">
        <w:trPr>
          <w:trHeight w:val="397"/>
        </w:trPr>
        <w:tc>
          <w:tcPr>
            <w:tcW w:w="2093" w:type="dxa"/>
            <w:shd w:val="clear" w:color="auto" w:fill="FFFFFF"/>
          </w:tcPr>
          <w:p w14:paraId="790C2942" w14:textId="718FB34C" w:rsidR="008F0907" w:rsidRPr="00E95C9C" w:rsidRDefault="008F0907" w:rsidP="008F0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Житло </w:t>
            </w:r>
          </w:p>
        </w:tc>
        <w:tc>
          <w:tcPr>
            <w:tcW w:w="1701" w:type="dxa"/>
          </w:tcPr>
          <w:p w14:paraId="6297C67B" w14:textId="0995E931" w:rsidR="008F0907" w:rsidRPr="00E95C9C" w:rsidRDefault="00C5210F" w:rsidP="00C5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 xml:space="preserve">147 </w:t>
            </w:r>
            <w:r w:rsidR="00161320" w:rsidRPr="00E95C9C">
              <w:rPr>
                <w:rFonts w:ascii="Times New Roman" w:eastAsia="Times New Roman" w:hAnsi="Times New Roman" w:cs="Times New Roman"/>
              </w:rPr>
              <w:t>743</w:t>
            </w:r>
            <w:r w:rsidRPr="00E95C9C">
              <w:rPr>
                <w:rFonts w:ascii="Times New Roman" w:eastAsia="Times New Roman" w:hAnsi="Times New Roman" w:cs="Times New Roman"/>
              </w:rPr>
              <w:t>,</w:t>
            </w:r>
            <w:r w:rsidR="00161320" w:rsidRPr="00E95C9C">
              <w:rPr>
                <w:rFonts w:ascii="Times New Roman" w:eastAsia="Times New Roman" w:hAnsi="Times New Roman" w:cs="Times New Roman"/>
              </w:rPr>
              <w:t>0</w:t>
            </w:r>
            <w:r w:rsidRPr="00E95C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2" w:type="dxa"/>
          </w:tcPr>
          <w:p w14:paraId="73A6401C" w14:textId="020CCE28" w:rsidR="008F0907" w:rsidRPr="00E95C9C" w:rsidRDefault="008F0907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30 143,00</w:t>
            </w:r>
          </w:p>
        </w:tc>
        <w:tc>
          <w:tcPr>
            <w:tcW w:w="1805" w:type="dxa"/>
          </w:tcPr>
          <w:p w14:paraId="4BF673CC" w14:textId="404D774C" w:rsidR="008F0907" w:rsidRPr="00E95C9C" w:rsidRDefault="008F0907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50 143,00</w:t>
            </w:r>
          </w:p>
        </w:tc>
        <w:tc>
          <w:tcPr>
            <w:tcW w:w="2318" w:type="dxa"/>
          </w:tcPr>
          <w:p w14:paraId="48C53C3D" w14:textId="07C188DE" w:rsidR="008F0907" w:rsidRPr="00E95C9C" w:rsidRDefault="0016132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  <w:b/>
                <w:bCs/>
              </w:rPr>
              <w:t>228</w:t>
            </w:r>
            <w:r w:rsidR="00C5210F" w:rsidRPr="00E95C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5C9C">
              <w:rPr>
                <w:rFonts w:ascii="Times New Roman" w:hAnsi="Times New Roman" w:cs="Times New Roman"/>
                <w:b/>
                <w:bCs/>
              </w:rPr>
              <w:t>029</w:t>
            </w:r>
            <w:r w:rsidR="00C5210F" w:rsidRPr="00E95C9C">
              <w:rPr>
                <w:rFonts w:ascii="Times New Roman" w:hAnsi="Times New Roman" w:cs="Times New Roman"/>
                <w:b/>
                <w:bCs/>
              </w:rPr>
              <w:t>,</w:t>
            </w:r>
            <w:r w:rsidRPr="00E95C9C">
              <w:rPr>
                <w:rFonts w:ascii="Times New Roman" w:hAnsi="Times New Roman" w:cs="Times New Roman"/>
                <w:b/>
                <w:bCs/>
              </w:rPr>
              <w:t>0</w:t>
            </w:r>
            <w:r w:rsidR="00C5210F" w:rsidRPr="00E95C9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F0907" w:rsidRPr="00E95C9C" w14:paraId="308894EF" w14:textId="77777777" w:rsidTr="00C06000">
        <w:trPr>
          <w:trHeight w:val="397"/>
        </w:trPr>
        <w:tc>
          <w:tcPr>
            <w:tcW w:w="2093" w:type="dxa"/>
            <w:shd w:val="clear" w:color="auto" w:fill="FFFFFF"/>
          </w:tcPr>
          <w:p w14:paraId="058A060E" w14:textId="30DE5B14" w:rsidR="008F0907" w:rsidRPr="00E95C9C" w:rsidRDefault="008F0907" w:rsidP="008F0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Енергетика </w:t>
            </w:r>
          </w:p>
        </w:tc>
        <w:tc>
          <w:tcPr>
            <w:tcW w:w="1701" w:type="dxa"/>
          </w:tcPr>
          <w:p w14:paraId="1B16F22C" w14:textId="76E3D627" w:rsidR="008F0907" w:rsidRPr="00E95C9C" w:rsidRDefault="0027609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0</w:t>
            </w:r>
            <w:r w:rsidR="001B6660" w:rsidRPr="00E95C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2" w:type="dxa"/>
          </w:tcPr>
          <w:p w14:paraId="5A554678" w14:textId="7F910ECA" w:rsidR="008F0907" w:rsidRPr="00E95C9C" w:rsidRDefault="008F0907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05" w:type="dxa"/>
          </w:tcPr>
          <w:p w14:paraId="147D442F" w14:textId="10FF4D91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318" w:type="dxa"/>
          </w:tcPr>
          <w:p w14:paraId="24AD89B4" w14:textId="78C4F2FC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276090" w:rsidRPr="00E95C9C">
              <w:rPr>
                <w:rFonts w:ascii="Times New Roman" w:hAnsi="Times New Roman" w:cs="Times New Roman"/>
                <w:b/>
                <w:bCs/>
              </w:rPr>
              <w:t>0</w:t>
            </w:r>
            <w:r w:rsidR="008F0907" w:rsidRPr="00E95C9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8F0907" w:rsidRPr="00E95C9C" w14:paraId="1660CBA6" w14:textId="77777777" w:rsidTr="00C06000">
        <w:trPr>
          <w:trHeight w:val="397"/>
        </w:trPr>
        <w:tc>
          <w:tcPr>
            <w:tcW w:w="2093" w:type="dxa"/>
            <w:shd w:val="clear" w:color="auto" w:fill="FFFFFF"/>
          </w:tcPr>
          <w:p w14:paraId="02C666CD" w14:textId="5D58DA77" w:rsidR="008F0907" w:rsidRPr="00E95C9C" w:rsidRDefault="008F0907" w:rsidP="008F0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Освіта і наука </w:t>
            </w:r>
          </w:p>
        </w:tc>
        <w:tc>
          <w:tcPr>
            <w:tcW w:w="1701" w:type="dxa"/>
          </w:tcPr>
          <w:p w14:paraId="10626F03" w14:textId="3A15545F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36</w:t>
            </w:r>
            <w:r w:rsidR="008F0907" w:rsidRPr="00E95C9C">
              <w:rPr>
                <w:rFonts w:ascii="Times New Roman" w:hAnsi="Times New Roman" w:cs="Times New Roman"/>
              </w:rPr>
              <w:t xml:space="preserve"> 200,00</w:t>
            </w:r>
          </w:p>
        </w:tc>
        <w:tc>
          <w:tcPr>
            <w:tcW w:w="1712" w:type="dxa"/>
          </w:tcPr>
          <w:p w14:paraId="2B4983D6" w14:textId="23B66658" w:rsidR="008F0907" w:rsidRPr="00E95C9C" w:rsidRDefault="0027609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34</w:t>
            </w:r>
            <w:r w:rsidR="008F0907" w:rsidRPr="00E95C9C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805" w:type="dxa"/>
          </w:tcPr>
          <w:p w14:paraId="3E5366A2" w14:textId="49F6F1DE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27</w:t>
            </w:r>
            <w:r w:rsidR="008F0907" w:rsidRPr="00E95C9C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2318" w:type="dxa"/>
          </w:tcPr>
          <w:p w14:paraId="2095300B" w14:textId="01068837" w:rsidR="008F0907" w:rsidRPr="00E95C9C" w:rsidRDefault="0027609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  <w:b/>
                <w:bCs/>
              </w:rPr>
              <w:t>97</w:t>
            </w:r>
            <w:r w:rsidR="008F0907" w:rsidRPr="00E95C9C">
              <w:rPr>
                <w:rFonts w:ascii="Times New Roman" w:hAnsi="Times New Roman" w:cs="Times New Roman"/>
                <w:b/>
                <w:bCs/>
              </w:rPr>
              <w:t xml:space="preserve"> 200,00</w:t>
            </w:r>
          </w:p>
        </w:tc>
      </w:tr>
      <w:tr w:rsidR="008F0907" w:rsidRPr="00E95C9C" w14:paraId="082FC98C" w14:textId="77777777" w:rsidTr="00C06000">
        <w:trPr>
          <w:trHeight w:val="397"/>
        </w:trPr>
        <w:tc>
          <w:tcPr>
            <w:tcW w:w="2093" w:type="dxa"/>
            <w:shd w:val="clear" w:color="auto" w:fill="FFFFFF"/>
          </w:tcPr>
          <w:p w14:paraId="1A7154E2" w14:textId="34C1FD05" w:rsidR="008F0907" w:rsidRPr="00E95C9C" w:rsidRDefault="008F0907" w:rsidP="008F0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Охорона здоров’я </w:t>
            </w:r>
          </w:p>
        </w:tc>
        <w:tc>
          <w:tcPr>
            <w:tcW w:w="1701" w:type="dxa"/>
          </w:tcPr>
          <w:p w14:paraId="08D210B6" w14:textId="7B7300EF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26 3</w:t>
            </w:r>
            <w:r w:rsidR="008F0907" w:rsidRPr="00E95C9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12" w:type="dxa"/>
          </w:tcPr>
          <w:p w14:paraId="7DD7C8D7" w14:textId="22A15B1C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32 5</w:t>
            </w:r>
            <w:r w:rsidR="008F0907" w:rsidRPr="00E95C9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05" w:type="dxa"/>
          </w:tcPr>
          <w:p w14:paraId="5A40DF2F" w14:textId="101202E9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63 5</w:t>
            </w:r>
            <w:r w:rsidR="008F0907" w:rsidRPr="00E95C9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318" w:type="dxa"/>
          </w:tcPr>
          <w:p w14:paraId="05BEEA51" w14:textId="42906584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  <w:b/>
                <w:bCs/>
              </w:rPr>
              <w:t>122 3</w:t>
            </w:r>
            <w:r w:rsidR="008F0907" w:rsidRPr="00E95C9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8F0907" w:rsidRPr="00E95C9C" w14:paraId="0D200738" w14:textId="77777777" w:rsidTr="00C06000">
        <w:trPr>
          <w:trHeight w:val="397"/>
        </w:trPr>
        <w:tc>
          <w:tcPr>
            <w:tcW w:w="2093" w:type="dxa"/>
            <w:shd w:val="clear" w:color="auto" w:fill="FFFFFF"/>
          </w:tcPr>
          <w:p w14:paraId="2C53A21A" w14:textId="111470FA" w:rsidR="008F0907" w:rsidRPr="00E95C9C" w:rsidRDefault="008F0907" w:rsidP="008F0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Соціальна сфера </w:t>
            </w:r>
          </w:p>
        </w:tc>
        <w:tc>
          <w:tcPr>
            <w:tcW w:w="1701" w:type="dxa"/>
          </w:tcPr>
          <w:p w14:paraId="1F7E99A9" w14:textId="17A5396F" w:rsidR="008F0907" w:rsidRPr="00E95C9C" w:rsidRDefault="008F0907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1712" w:type="dxa"/>
          </w:tcPr>
          <w:p w14:paraId="56D9B68B" w14:textId="3899172A" w:rsidR="008F0907" w:rsidRPr="00E95C9C" w:rsidRDefault="008F0907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805" w:type="dxa"/>
          </w:tcPr>
          <w:p w14:paraId="793CDDA4" w14:textId="641A76CE" w:rsidR="008F0907" w:rsidRPr="00E95C9C" w:rsidRDefault="008F0907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318" w:type="dxa"/>
          </w:tcPr>
          <w:p w14:paraId="2F0FD30B" w14:textId="664CA0CA" w:rsidR="008F0907" w:rsidRPr="00E95C9C" w:rsidRDefault="008F0907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  <w:b/>
                <w:bCs/>
              </w:rPr>
              <w:t>22 600,00</w:t>
            </w:r>
          </w:p>
        </w:tc>
      </w:tr>
      <w:tr w:rsidR="008F0907" w:rsidRPr="00E95C9C" w14:paraId="647DF1F6" w14:textId="77777777" w:rsidTr="00184080">
        <w:tc>
          <w:tcPr>
            <w:tcW w:w="2093" w:type="dxa"/>
            <w:shd w:val="clear" w:color="auto" w:fill="FFFFFF"/>
          </w:tcPr>
          <w:p w14:paraId="20C1A7FE" w14:textId="583ED739" w:rsidR="008F0907" w:rsidRPr="00E95C9C" w:rsidRDefault="008F0907" w:rsidP="008F0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Громадська безпека </w:t>
            </w:r>
          </w:p>
        </w:tc>
        <w:tc>
          <w:tcPr>
            <w:tcW w:w="1701" w:type="dxa"/>
          </w:tcPr>
          <w:p w14:paraId="40567B0A" w14:textId="5C08A280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9</w:t>
            </w:r>
            <w:r w:rsidR="008F0907" w:rsidRPr="00E95C9C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712" w:type="dxa"/>
          </w:tcPr>
          <w:p w14:paraId="50BAF836" w14:textId="6D6729E5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9</w:t>
            </w:r>
            <w:r w:rsidR="008F0907" w:rsidRPr="00E95C9C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805" w:type="dxa"/>
          </w:tcPr>
          <w:p w14:paraId="2FD117B2" w14:textId="7ABEF0B5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29</w:t>
            </w:r>
            <w:r w:rsidR="008F0907" w:rsidRPr="00E95C9C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2318" w:type="dxa"/>
          </w:tcPr>
          <w:p w14:paraId="0386C69C" w14:textId="27AC8165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  <w:b/>
                <w:bCs/>
              </w:rPr>
              <w:t>47</w:t>
            </w:r>
            <w:r w:rsidR="008F0907" w:rsidRPr="00E95C9C">
              <w:rPr>
                <w:rFonts w:ascii="Times New Roman" w:hAnsi="Times New Roman" w:cs="Times New Roman"/>
                <w:b/>
                <w:bCs/>
              </w:rPr>
              <w:t xml:space="preserve"> 000,00</w:t>
            </w:r>
          </w:p>
        </w:tc>
      </w:tr>
      <w:tr w:rsidR="008F0907" w:rsidRPr="00E95C9C" w14:paraId="6A1C1398" w14:textId="77777777" w:rsidTr="00184080">
        <w:trPr>
          <w:trHeight w:val="409"/>
        </w:trPr>
        <w:tc>
          <w:tcPr>
            <w:tcW w:w="2093" w:type="dxa"/>
            <w:shd w:val="clear" w:color="auto" w:fill="FFFFFF"/>
          </w:tcPr>
          <w:p w14:paraId="4EB85969" w14:textId="7DD38C95" w:rsidR="008F0907" w:rsidRPr="00E95C9C" w:rsidRDefault="008F0907" w:rsidP="008F090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E95C9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Довкілля </w:t>
            </w:r>
          </w:p>
        </w:tc>
        <w:tc>
          <w:tcPr>
            <w:tcW w:w="1701" w:type="dxa"/>
          </w:tcPr>
          <w:p w14:paraId="114AF254" w14:textId="2AD10A6B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712" w:type="dxa"/>
          </w:tcPr>
          <w:p w14:paraId="033F4A8C" w14:textId="6F8CA3FD" w:rsidR="008F0907" w:rsidRPr="00E95C9C" w:rsidRDefault="008F0907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05" w:type="dxa"/>
          </w:tcPr>
          <w:p w14:paraId="2E1BA205" w14:textId="50699747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2318" w:type="dxa"/>
            <w:tcBorders>
              <w:bottom w:val="single" w:sz="4" w:space="0" w:color="000000"/>
            </w:tcBorders>
          </w:tcPr>
          <w:p w14:paraId="75236664" w14:textId="2F8CD14D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8F0907" w:rsidRPr="00E95C9C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</w:tr>
      <w:tr w:rsidR="001B6660" w:rsidRPr="00E95C9C" w14:paraId="44DEABFB" w14:textId="77777777" w:rsidTr="00184080">
        <w:tc>
          <w:tcPr>
            <w:tcW w:w="2093" w:type="dxa"/>
            <w:shd w:val="clear" w:color="auto" w:fill="FFFFFF"/>
          </w:tcPr>
          <w:p w14:paraId="5228A56E" w14:textId="61C89C7F" w:rsidR="001B6660" w:rsidRPr="00E95C9C" w:rsidRDefault="001B6660" w:rsidP="001B666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E95C9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Публічні послуги і пов’язана з ними </w:t>
            </w:r>
            <w:proofErr w:type="spellStart"/>
            <w:r w:rsidRPr="00E95C9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цифровізація</w:t>
            </w:r>
            <w:proofErr w:type="spellEnd"/>
            <w:r w:rsidRPr="00E95C9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5F466C" w14:textId="749B3BBC" w:rsidR="001B6660" w:rsidRPr="00E95C9C" w:rsidRDefault="001B6660" w:rsidP="001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6E1D98CA" w14:textId="4301CFC4" w:rsidR="001B6660" w:rsidRPr="00E95C9C" w:rsidRDefault="001B6660" w:rsidP="001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07B6B75" w14:textId="1ECC852F" w:rsidR="001B6660" w:rsidRPr="00E95C9C" w:rsidRDefault="001B6660" w:rsidP="001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19D6148A" w14:textId="4BB9B2AE" w:rsidR="001B6660" w:rsidRPr="00E95C9C" w:rsidRDefault="001B6660" w:rsidP="001B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  <w:b/>
                <w:bCs/>
              </w:rPr>
              <w:t>1 500,00</w:t>
            </w:r>
          </w:p>
        </w:tc>
      </w:tr>
      <w:tr w:rsidR="008F0907" w:rsidRPr="00E95C9C" w14:paraId="70B14B6E" w14:textId="77777777" w:rsidTr="00184080">
        <w:tc>
          <w:tcPr>
            <w:tcW w:w="2093" w:type="dxa"/>
            <w:shd w:val="clear" w:color="auto" w:fill="FFFFFF"/>
          </w:tcPr>
          <w:p w14:paraId="2D7883DB" w14:textId="68288E20" w:rsidR="008F0907" w:rsidRPr="00E95C9C" w:rsidRDefault="008F0907" w:rsidP="008F090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E95C9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Економічна діяльність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672541" w14:textId="00F563F5" w:rsidR="008F0907" w:rsidRPr="00E95C9C" w:rsidRDefault="0027609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270CE709" w14:textId="790A6621" w:rsidR="008F0907" w:rsidRPr="00E95C9C" w:rsidRDefault="008F0907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3508157E" w14:textId="1EFD054A" w:rsidR="008F0907" w:rsidRPr="00E95C9C" w:rsidRDefault="008F0907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14:paraId="122D58B8" w14:textId="7AEA2A15" w:rsidR="008F0907" w:rsidRPr="00E95C9C" w:rsidRDefault="0027609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  <w:b/>
                <w:bCs/>
              </w:rPr>
              <w:t>70</w:t>
            </w:r>
            <w:r w:rsidR="001B6660" w:rsidRPr="00E95C9C">
              <w:rPr>
                <w:rFonts w:ascii="Times New Roman" w:hAnsi="Times New Roman" w:cs="Times New Roman"/>
                <w:b/>
                <w:bCs/>
              </w:rPr>
              <w:t xml:space="preserve"> 000,0</w:t>
            </w:r>
            <w:r w:rsidR="008F0907" w:rsidRPr="00E95C9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F0907" w:rsidRPr="00E95C9C" w14:paraId="1231D087" w14:textId="77777777" w:rsidTr="00036D40">
        <w:trPr>
          <w:trHeight w:val="735"/>
        </w:trPr>
        <w:tc>
          <w:tcPr>
            <w:tcW w:w="2093" w:type="dxa"/>
            <w:shd w:val="clear" w:color="auto" w:fill="FFFFFF"/>
          </w:tcPr>
          <w:p w14:paraId="5CA7AAD4" w14:textId="76E1413B" w:rsidR="008F0907" w:rsidRPr="00E95C9C" w:rsidRDefault="008F0907" w:rsidP="008F0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95C9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Культура та інформація </w:t>
            </w:r>
          </w:p>
        </w:tc>
        <w:tc>
          <w:tcPr>
            <w:tcW w:w="1701" w:type="dxa"/>
          </w:tcPr>
          <w:p w14:paraId="27516833" w14:textId="57E3E0C8" w:rsidR="008F0907" w:rsidRPr="00E95C9C" w:rsidRDefault="008F0907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6 500,00</w:t>
            </w:r>
          </w:p>
        </w:tc>
        <w:tc>
          <w:tcPr>
            <w:tcW w:w="1712" w:type="dxa"/>
          </w:tcPr>
          <w:p w14:paraId="7917368E" w14:textId="5C333C62" w:rsidR="008F0907" w:rsidRPr="00E95C9C" w:rsidRDefault="008F0907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805" w:type="dxa"/>
          </w:tcPr>
          <w:p w14:paraId="0A94D11D" w14:textId="34A072BD" w:rsidR="008F0907" w:rsidRPr="00E95C9C" w:rsidRDefault="008F0907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318" w:type="dxa"/>
          </w:tcPr>
          <w:p w14:paraId="0A26EBD4" w14:textId="0A5E8F29" w:rsidR="008F0907" w:rsidRPr="00E95C9C" w:rsidRDefault="008F0907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  <w:b/>
                <w:bCs/>
              </w:rPr>
              <w:t>26 500,00</w:t>
            </w:r>
          </w:p>
        </w:tc>
      </w:tr>
      <w:tr w:rsidR="008F0907" w:rsidRPr="00E95C9C" w14:paraId="04AE88AF" w14:textId="77777777" w:rsidTr="00184080">
        <w:tc>
          <w:tcPr>
            <w:tcW w:w="2093" w:type="dxa"/>
            <w:shd w:val="clear" w:color="auto" w:fill="FFFFFF"/>
          </w:tcPr>
          <w:p w14:paraId="59B49246" w14:textId="3C8FDF64" w:rsidR="008F0907" w:rsidRPr="00E95C9C" w:rsidRDefault="008F0907" w:rsidP="008F09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95C9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Спорт та фізичне виховання</w:t>
            </w:r>
          </w:p>
        </w:tc>
        <w:tc>
          <w:tcPr>
            <w:tcW w:w="1701" w:type="dxa"/>
          </w:tcPr>
          <w:p w14:paraId="7F5C7891" w14:textId="610851E5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1</w:t>
            </w:r>
            <w:r w:rsidR="00276090" w:rsidRPr="00E95C9C">
              <w:rPr>
                <w:rFonts w:ascii="Times New Roman" w:hAnsi="Times New Roman" w:cs="Times New Roman"/>
              </w:rPr>
              <w:t xml:space="preserve"> </w:t>
            </w:r>
            <w:r w:rsidRPr="00E95C9C">
              <w:rPr>
                <w:rFonts w:ascii="Times New Roman" w:hAnsi="Times New Roman" w:cs="Times New Roman"/>
              </w:rPr>
              <w:t>00</w:t>
            </w:r>
            <w:r w:rsidR="008F0907" w:rsidRPr="00E95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</w:tcPr>
          <w:p w14:paraId="198A5D85" w14:textId="6C0C64D4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1</w:t>
            </w:r>
            <w:r w:rsidR="00276090" w:rsidRPr="00E95C9C">
              <w:rPr>
                <w:rFonts w:ascii="Times New Roman" w:hAnsi="Times New Roman" w:cs="Times New Roman"/>
              </w:rPr>
              <w:t xml:space="preserve"> </w:t>
            </w:r>
            <w:r w:rsidRPr="00E95C9C">
              <w:rPr>
                <w:rFonts w:ascii="Times New Roman" w:hAnsi="Times New Roman" w:cs="Times New Roman"/>
              </w:rPr>
              <w:t>00</w:t>
            </w:r>
            <w:r w:rsidR="008F0907" w:rsidRPr="00E95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5" w:type="dxa"/>
          </w:tcPr>
          <w:p w14:paraId="6C32811E" w14:textId="328518C5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</w:rPr>
              <w:t>1</w:t>
            </w:r>
            <w:r w:rsidR="00276090" w:rsidRPr="00E95C9C">
              <w:rPr>
                <w:rFonts w:ascii="Times New Roman" w:hAnsi="Times New Roman" w:cs="Times New Roman"/>
              </w:rPr>
              <w:t xml:space="preserve"> </w:t>
            </w:r>
            <w:r w:rsidRPr="00E95C9C">
              <w:rPr>
                <w:rFonts w:ascii="Times New Roman" w:hAnsi="Times New Roman" w:cs="Times New Roman"/>
              </w:rPr>
              <w:t>00</w:t>
            </w:r>
            <w:r w:rsidR="008F0907" w:rsidRPr="00E95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18" w:type="dxa"/>
          </w:tcPr>
          <w:p w14:paraId="689058E0" w14:textId="1D6310F0" w:rsidR="008F0907" w:rsidRPr="00E95C9C" w:rsidRDefault="001B6660" w:rsidP="008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C9C">
              <w:rPr>
                <w:rFonts w:ascii="Times New Roman" w:hAnsi="Times New Roman" w:cs="Times New Roman"/>
                <w:b/>
                <w:bCs/>
              </w:rPr>
              <w:t>3</w:t>
            </w:r>
            <w:r w:rsidR="00036D40" w:rsidRPr="00E95C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5C9C">
              <w:rPr>
                <w:rFonts w:ascii="Times New Roman" w:hAnsi="Times New Roman" w:cs="Times New Roman"/>
                <w:b/>
                <w:bCs/>
              </w:rPr>
              <w:t>00</w:t>
            </w:r>
            <w:r w:rsidR="008F0907" w:rsidRPr="00E95C9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F0907" w:rsidRPr="00E95C9C" w14:paraId="6ABA40C5" w14:textId="77777777" w:rsidTr="00184080">
        <w:tc>
          <w:tcPr>
            <w:tcW w:w="2093" w:type="dxa"/>
            <w:shd w:val="clear" w:color="auto" w:fill="FFFFFF"/>
          </w:tcPr>
          <w:p w14:paraId="4A9D5A84" w14:textId="2544C211" w:rsidR="008F0907" w:rsidRPr="00E95C9C" w:rsidRDefault="008F0907" w:rsidP="008F0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lang w:eastAsia="uk-UA"/>
                <w14:ligatures w14:val="none"/>
              </w:rPr>
            </w:pPr>
            <w:r w:rsidRPr="00E95C9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uk-UA"/>
                <w14:ligatures w14:val="none"/>
              </w:rPr>
              <w:t>Загальний результа</w:t>
            </w:r>
            <w:r w:rsidRPr="00E95C9C">
              <w:rPr>
                <w:rFonts w:ascii="Times New Roman" w:eastAsia="Times New Roman" w:hAnsi="Times New Roman" w:cs="Times New Roman"/>
                <w:b/>
                <w:i/>
                <w:kern w:val="0"/>
                <w:lang w:eastAsia="uk-UA"/>
                <w14:ligatures w14:val="none"/>
              </w:rPr>
              <w:t>т</w:t>
            </w:r>
          </w:p>
        </w:tc>
        <w:tc>
          <w:tcPr>
            <w:tcW w:w="1701" w:type="dxa"/>
          </w:tcPr>
          <w:p w14:paraId="11A66554" w14:textId="3D62B90F" w:rsidR="008F0907" w:rsidRPr="00E95C9C" w:rsidRDefault="00347984" w:rsidP="001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95C9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1 016 34</w:t>
            </w:r>
            <w:r w:rsidR="008E5C77" w:rsidRPr="00E95C9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9</w:t>
            </w:r>
            <w:r w:rsidR="003C7D38" w:rsidRPr="00E95C9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,0</w:t>
            </w:r>
            <w:r w:rsidR="008E5C77" w:rsidRPr="00E95C9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712" w:type="dxa"/>
          </w:tcPr>
          <w:p w14:paraId="378A0628" w14:textId="25B33749" w:rsidR="008F0907" w:rsidRPr="00E95C9C" w:rsidRDefault="008F0907" w:rsidP="001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95C9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540 143,00</w:t>
            </w:r>
          </w:p>
        </w:tc>
        <w:tc>
          <w:tcPr>
            <w:tcW w:w="1805" w:type="dxa"/>
          </w:tcPr>
          <w:p w14:paraId="451B00AD" w14:textId="675CB6D2" w:rsidR="008F0907" w:rsidRPr="00E95C9C" w:rsidRDefault="008F0907" w:rsidP="001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95C9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880 143,00</w:t>
            </w:r>
          </w:p>
        </w:tc>
        <w:tc>
          <w:tcPr>
            <w:tcW w:w="2318" w:type="dxa"/>
          </w:tcPr>
          <w:p w14:paraId="37F5C603" w14:textId="11AFB944" w:rsidR="008F0907" w:rsidRPr="00E95C9C" w:rsidRDefault="00347984" w:rsidP="001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95C9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  <w:r w:rsidR="00036D40" w:rsidRPr="00E95C9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436 635,06</w:t>
            </w:r>
          </w:p>
        </w:tc>
      </w:tr>
    </w:tbl>
    <w:p w14:paraId="57388A75" w14:textId="57F8F39D" w:rsidR="00552E35" w:rsidRPr="00E95C9C" w:rsidRDefault="00552E35" w:rsidP="00E427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5C9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Підсумки та перспективи</w:t>
      </w:r>
    </w:p>
    <w:p w14:paraId="2F2480BF" w14:textId="77777777" w:rsidR="00552E35" w:rsidRPr="00E95C9C" w:rsidRDefault="00552E35" w:rsidP="00552E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266BFBDA" w14:textId="76A96A78" w:rsidR="00552E35" w:rsidRPr="00E95C9C" w:rsidRDefault="008B426F" w:rsidP="005B47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hAnsi="Times New Roman" w:cs="Times New Roman"/>
          <w:sz w:val="28"/>
          <w:szCs w:val="28"/>
        </w:rPr>
        <w:t xml:space="preserve">СПППІ громади </w:t>
      </w:r>
      <w:r w:rsidR="00552E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є ключовим інструментом сучасного управління публічними інвестиціями на місцевому рівні. Його розроблення спрямоване на запровадження якісно нового підходу до планування, відбору та реалізації публічних 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інвестиційних </w:t>
      </w:r>
      <w:proofErr w:type="spellStart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Він</w:t>
      </w:r>
      <w:r w:rsidR="00552E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поєднує стратегічні орієнтири громади з державними пріоритетами розвитку.</w:t>
      </w:r>
    </w:p>
    <w:p w14:paraId="5F818796" w14:textId="11B9A5A6" w:rsidR="00552E35" w:rsidRPr="00E95C9C" w:rsidRDefault="00552E35" w:rsidP="005B47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Визначення наскрізних стратегічних цілей, узгодження з наявними стратегічними документами, продовження та завершення розпочатих </w:t>
      </w:r>
      <w:proofErr w:type="spellStart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 програм, а також закріплення пріоритетних галузей (секторів) і основних напрямів публічного інвестування забезпечують концентрацію ресурсів на реалізації ключових завдань розвитку громади. Це сприяє ефективному використанню як попередньо вкладених, так і майбутніх публічних інвестицій, створює чітке розуміння галузей, що потребують</w:t>
      </w:r>
      <w:r w:rsidR="008B426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найбільшої уваги та підтримки в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середньостроковій перспективі.</w:t>
      </w:r>
    </w:p>
    <w:p w14:paraId="0BFE8EF8" w14:textId="37BF7831" w:rsidR="00552E35" w:rsidRPr="00E95C9C" w:rsidRDefault="00552E35" w:rsidP="005B47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Визначення на</w:t>
      </w:r>
      <w:r w:rsidR="008B426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прямів публічного інвестування в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межах кожної галузі (сектора) є базою для подальшої підготовки, оцінки та відбору інвестиційних </w:t>
      </w:r>
      <w:proofErr w:type="spellStart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 програм, а також для формування галузевих (секторальних) про</w:t>
      </w:r>
      <w:r w:rsidR="00C655D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ктних портфелів та єдиного про</w:t>
      </w:r>
      <w:r w:rsidR="00C655D9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ктного портфеля публічних інвестицій громади.</w:t>
      </w:r>
    </w:p>
    <w:p w14:paraId="2DD5C451" w14:textId="25E47157" w:rsidR="00552E35" w:rsidRPr="00E95C9C" w:rsidRDefault="008B426F" w:rsidP="005B47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Підготовка </w:t>
      </w:r>
      <w:proofErr w:type="spellStart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</w:t>
      </w:r>
      <w:r w:rsidR="00552E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ктів</w:t>
      </w:r>
      <w:proofErr w:type="spellEnd"/>
      <w:r w:rsidR="00552E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програм передбачає обов’язкове визначення напряму публічного інвестування у відповідн</w:t>
      </w:r>
      <w:r w:rsidR="00D93524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ій галузі</w:t>
      </w:r>
      <w:r w:rsidR="00552E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93524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</w:t>
      </w:r>
      <w:r w:rsidR="00552E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секторі</w:t>
      </w:r>
      <w:r w:rsidR="00D93524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="00552E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з яким пов’язаний </w:t>
      </w:r>
      <w:proofErr w:type="spellStart"/>
      <w:r w:rsidR="00552E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</w:t>
      </w:r>
      <w:proofErr w:type="spellEnd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552E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узгодження його мети й завдань </w:t>
      </w:r>
      <w:r w:rsidR="005B47A7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 визначеними в</w:t>
      </w:r>
      <w:r w:rsidR="00552E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СПППІ громади</w:t>
      </w:r>
      <w:r w:rsidR="00552E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93524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напрямами</w:t>
      </w:r>
      <w:r w:rsidR="00552E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3218DCD3" w14:textId="77777777" w:rsidR="00552E35" w:rsidRPr="00E95C9C" w:rsidRDefault="00552E35" w:rsidP="005B47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Оцінка інвестиційних </w:t>
      </w:r>
      <w:proofErr w:type="spellStart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 програм включатиме:</w:t>
      </w:r>
    </w:p>
    <w:p w14:paraId="68F97C94" w14:textId="6E549576" w:rsidR="00552E35" w:rsidRPr="00E95C9C" w:rsidRDefault="00552E35" w:rsidP="005B47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оцінку відповідності (скринінг);</w:t>
      </w:r>
    </w:p>
    <w:p w14:paraId="462D38C5" w14:textId="31DF0D82" w:rsidR="00552E35" w:rsidRPr="00E95C9C" w:rsidRDefault="00552E35" w:rsidP="005B47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галузеву (секторальну) експертну оцінку;</w:t>
      </w:r>
    </w:p>
    <w:p w14:paraId="4FE7B2D6" w14:textId="0E21ADD1" w:rsidR="00552E35" w:rsidRPr="00E95C9C" w:rsidRDefault="00552E35" w:rsidP="005B47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комплексну експертну оцінку із застосуванням </w:t>
      </w:r>
      <w:r w:rsidR="00B07A7E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переліку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показників, що відповідають напрямам публічного інвестування.</w:t>
      </w:r>
    </w:p>
    <w:p w14:paraId="3CFC1A33" w14:textId="5636DA65" w:rsidR="00552E35" w:rsidRPr="00E95C9C" w:rsidRDefault="00552E35" w:rsidP="005B47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Без визначення таких напрямів</w:t>
      </w:r>
      <w:r w:rsidR="00D93524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для публічного інвестування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неможлива ефективна </w:t>
      </w:r>
      <w:proofErr w:type="spellStart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пріоритезація</w:t>
      </w:r>
      <w:proofErr w:type="spellEnd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 межах галузевих (секторальних) портфелів</w:t>
      </w:r>
      <w:r w:rsidR="008B426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публічних інвестицій громади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Пріоритезація</w:t>
      </w:r>
      <w:proofErr w:type="spellEnd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здійснюватиметься за критеріями, </w:t>
      </w:r>
      <w:r w:rsidR="000D694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розробленими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відповід</w:t>
      </w:r>
      <w:r w:rsidR="00AA5BE8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аль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ними</w:t>
      </w:r>
      <w:r w:rsidR="00AA5BE8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 галузі (сектори)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A5BE8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управліннями, відділами, іншими виконавчими органами міської ради</w:t>
      </w:r>
      <w:r w:rsidR="00510CD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AA5BE8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для формування </w:t>
      </w:r>
      <w:r w:rsidR="000D694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переліку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 кожним напрямом публічного інвестування.</w:t>
      </w:r>
    </w:p>
    <w:p w14:paraId="5340E975" w14:textId="61C222BE" w:rsidR="00552E35" w:rsidRPr="00E95C9C" w:rsidRDefault="00552E35" w:rsidP="005B47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СПППІ громади є основою для забезпечення прозорості та обґрунтованості рішень щодо фінансування, концентрації фінансових ресурсів на пріоритетних напрямах розвитку, підвищення ефективності реалізації </w:t>
      </w:r>
      <w:r w:rsidR="000D694F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публічних 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інвестиційних </w:t>
      </w:r>
      <w:proofErr w:type="spellStart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інтеграції громади до єдиної системи управління публічними інвестиціями держави.</w:t>
      </w:r>
    </w:p>
    <w:p w14:paraId="18A2ED08" w14:textId="17DC9A4B" w:rsidR="00552E35" w:rsidRPr="00E95C9C" w:rsidRDefault="000D694F" w:rsidP="005B47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Ефективне в</w:t>
      </w:r>
      <w:r w:rsidR="00552E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провадження 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пріорите</w:t>
      </w:r>
      <w:r w:rsidR="00510CD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тних публічних інвестицій</w:t>
      </w:r>
      <w:r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52E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сприятиме підвищенню інституційної спроможності громади, забезпеченню сталого економічного зростання та покращенню яко</w:t>
      </w:r>
      <w:r w:rsidR="00510CD1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сті життя мешканців Криворізької міської територіальної громади</w:t>
      </w:r>
      <w:r w:rsidR="00552E35" w:rsidRPr="00E95C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7DCCE0D" w14:textId="77777777" w:rsidR="005B47A7" w:rsidRPr="00E95C9C" w:rsidRDefault="005B47A7" w:rsidP="005B47A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FD7AC83" w14:textId="78BEA948" w:rsidR="005B47A7" w:rsidRPr="00E95C9C" w:rsidRDefault="005B47A7" w:rsidP="005B47A7">
      <w:pPr>
        <w:snapToGri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5C9C">
        <w:rPr>
          <w:rFonts w:ascii="Times New Roman" w:hAnsi="Times New Roman" w:cs="Times New Roman"/>
          <w:b/>
          <w:i/>
          <w:sz w:val="28"/>
          <w:szCs w:val="28"/>
        </w:rPr>
        <w:t xml:space="preserve">В.о. керуючої справами виконкому </w:t>
      </w:r>
      <w:r w:rsidR="0033328C" w:rsidRPr="00E95C9C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14:paraId="0001F8A2" w14:textId="15057CA0" w:rsidR="005B47A7" w:rsidRPr="00E95C9C" w:rsidRDefault="0033328C" w:rsidP="005B47A7">
      <w:pPr>
        <w:snapToGri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5C9C">
        <w:rPr>
          <w:rFonts w:ascii="Times New Roman" w:hAnsi="Times New Roman" w:cs="Times New Roman"/>
          <w:b/>
          <w:i/>
          <w:sz w:val="28"/>
          <w:szCs w:val="28"/>
        </w:rPr>
        <w:t>заступник міського голови                                            Надія ПОДОПЛЄЛОВА</w:t>
      </w:r>
      <w:bookmarkEnd w:id="0"/>
    </w:p>
    <w:sectPr w:rsidR="005B47A7" w:rsidRPr="00E95C9C" w:rsidSect="006250F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EE362" w14:textId="77777777" w:rsidR="00140B54" w:rsidRDefault="00140B54" w:rsidP="00966DDC">
      <w:pPr>
        <w:spacing w:after="0" w:line="240" w:lineRule="auto"/>
      </w:pPr>
      <w:r>
        <w:separator/>
      </w:r>
    </w:p>
  </w:endnote>
  <w:endnote w:type="continuationSeparator" w:id="0">
    <w:p w14:paraId="251600FC" w14:textId="77777777" w:rsidR="00140B54" w:rsidRDefault="00140B54" w:rsidP="0096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ahom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Tahoma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B8404" w14:textId="77777777" w:rsidR="00140B54" w:rsidRDefault="00140B54" w:rsidP="00966DDC">
      <w:pPr>
        <w:spacing w:after="0" w:line="240" w:lineRule="auto"/>
      </w:pPr>
      <w:r>
        <w:separator/>
      </w:r>
    </w:p>
  </w:footnote>
  <w:footnote w:type="continuationSeparator" w:id="0">
    <w:p w14:paraId="0E66471D" w14:textId="77777777" w:rsidR="00140B54" w:rsidRDefault="00140B54" w:rsidP="0096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158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8DC6C6" w14:textId="0A0388EF" w:rsidR="008B426F" w:rsidRPr="00966DDC" w:rsidRDefault="008B426F">
        <w:pPr>
          <w:pStyle w:val="ae"/>
          <w:jc w:val="center"/>
          <w:rPr>
            <w:rFonts w:ascii="Times New Roman" w:hAnsi="Times New Roman" w:cs="Times New Roman"/>
          </w:rPr>
        </w:pPr>
        <w:r w:rsidRPr="00966DDC">
          <w:rPr>
            <w:rFonts w:ascii="Times New Roman" w:hAnsi="Times New Roman" w:cs="Times New Roman"/>
          </w:rPr>
          <w:fldChar w:fldCharType="begin"/>
        </w:r>
        <w:r w:rsidRPr="00966DDC">
          <w:rPr>
            <w:rFonts w:ascii="Times New Roman" w:hAnsi="Times New Roman" w:cs="Times New Roman"/>
          </w:rPr>
          <w:instrText>PAGE   \* MERGEFORMAT</w:instrText>
        </w:r>
        <w:r w:rsidRPr="00966DDC">
          <w:rPr>
            <w:rFonts w:ascii="Times New Roman" w:hAnsi="Times New Roman" w:cs="Times New Roman"/>
          </w:rPr>
          <w:fldChar w:fldCharType="separate"/>
        </w:r>
        <w:r w:rsidR="00E95C9C" w:rsidRPr="00E95C9C">
          <w:rPr>
            <w:rFonts w:ascii="Times New Roman" w:hAnsi="Times New Roman" w:cs="Times New Roman"/>
            <w:noProof/>
            <w:lang w:val="ru-RU"/>
          </w:rPr>
          <w:t>6</w:t>
        </w:r>
        <w:r w:rsidRPr="00966DDC">
          <w:rPr>
            <w:rFonts w:ascii="Times New Roman" w:hAnsi="Times New Roman" w:cs="Times New Roman"/>
          </w:rPr>
          <w:fldChar w:fldCharType="end"/>
        </w:r>
      </w:p>
    </w:sdtContent>
  </w:sdt>
  <w:p w14:paraId="51234363" w14:textId="77777777" w:rsidR="008B426F" w:rsidRPr="00966DDC" w:rsidRDefault="008B426F">
    <w:pPr>
      <w:pStyle w:val="a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4E0"/>
    <w:multiLevelType w:val="hybridMultilevel"/>
    <w:tmpl w:val="BBA66D1E"/>
    <w:lvl w:ilvl="0" w:tplc="5E64AE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315D7"/>
    <w:multiLevelType w:val="multilevel"/>
    <w:tmpl w:val="4058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F0FEA"/>
    <w:multiLevelType w:val="hybridMultilevel"/>
    <w:tmpl w:val="26BE8C1E"/>
    <w:lvl w:ilvl="0" w:tplc="B628C0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4937B9"/>
    <w:multiLevelType w:val="hybridMultilevel"/>
    <w:tmpl w:val="B84CD032"/>
    <w:lvl w:ilvl="0" w:tplc="96D26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1C3520"/>
    <w:multiLevelType w:val="hybridMultilevel"/>
    <w:tmpl w:val="96D60C96"/>
    <w:lvl w:ilvl="0" w:tplc="2000000F">
      <w:start w:val="1"/>
      <w:numFmt w:val="decimal"/>
      <w:lvlText w:val="%1."/>
      <w:lvlJc w:val="left"/>
      <w:pPr>
        <w:ind w:left="1211" w:hanging="360"/>
      </w:p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C1730D1"/>
    <w:multiLevelType w:val="hybridMultilevel"/>
    <w:tmpl w:val="1C36CD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E482E"/>
    <w:multiLevelType w:val="hybridMultilevel"/>
    <w:tmpl w:val="EB941468"/>
    <w:lvl w:ilvl="0" w:tplc="A1D4D8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5D82"/>
    <w:multiLevelType w:val="hybridMultilevel"/>
    <w:tmpl w:val="A67C71A0"/>
    <w:lvl w:ilvl="0" w:tplc="5E64AE5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97C1D"/>
    <w:multiLevelType w:val="multilevel"/>
    <w:tmpl w:val="779E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E1529"/>
    <w:multiLevelType w:val="hybridMultilevel"/>
    <w:tmpl w:val="F1B43446"/>
    <w:lvl w:ilvl="0" w:tplc="F5463BB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2B27644"/>
    <w:multiLevelType w:val="hybridMultilevel"/>
    <w:tmpl w:val="88581946"/>
    <w:lvl w:ilvl="0" w:tplc="EA6A6364">
      <w:start w:val="5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4263814"/>
    <w:multiLevelType w:val="hybridMultilevel"/>
    <w:tmpl w:val="6ABC315C"/>
    <w:lvl w:ilvl="0" w:tplc="AE0ECE3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9383047"/>
    <w:multiLevelType w:val="multilevel"/>
    <w:tmpl w:val="93F2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32"/>
    <w:rsid w:val="00036D40"/>
    <w:rsid w:val="00053A12"/>
    <w:rsid w:val="00062089"/>
    <w:rsid w:val="00062835"/>
    <w:rsid w:val="000D694F"/>
    <w:rsid w:val="000E1084"/>
    <w:rsid w:val="000E33F4"/>
    <w:rsid w:val="00140B54"/>
    <w:rsid w:val="00142980"/>
    <w:rsid w:val="00161320"/>
    <w:rsid w:val="00184080"/>
    <w:rsid w:val="001927CD"/>
    <w:rsid w:val="0019412A"/>
    <w:rsid w:val="001B6660"/>
    <w:rsid w:val="001C45FC"/>
    <w:rsid w:val="00207EA7"/>
    <w:rsid w:val="00212D04"/>
    <w:rsid w:val="00220D5C"/>
    <w:rsid w:val="0022113D"/>
    <w:rsid w:val="00223833"/>
    <w:rsid w:val="00256003"/>
    <w:rsid w:val="00256970"/>
    <w:rsid w:val="00276090"/>
    <w:rsid w:val="002D5161"/>
    <w:rsid w:val="0033328C"/>
    <w:rsid w:val="00343EAA"/>
    <w:rsid w:val="00347984"/>
    <w:rsid w:val="00393288"/>
    <w:rsid w:val="00395976"/>
    <w:rsid w:val="00396EC9"/>
    <w:rsid w:val="003A471F"/>
    <w:rsid w:val="003A66B5"/>
    <w:rsid w:val="003C7313"/>
    <w:rsid w:val="003C7D38"/>
    <w:rsid w:val="003F7BC8"/>
    <w:rsid w:val="00444E9F"/>
    <w:rsid w:val="0046558E"/>
    <w:rsid w:val="00467050"/>
    <w:rsid w:val="00476D6E"/>
    <w:rsid w:val="004A3D2F"/>
    <w:rsid w:val="004A43C8"/>
    <w:rsid w:val="004C0FF7"/>
    <w:rsid w:val="004F6292"/>
    <w:rsid w:val="00510CD1"/>
    <w:rsid w:val="005143CB"/>
    <w:rsid w:val="005464D3"/>
    <w:rsid w:val="00552E35"/>
    <w:rsid w:val="00572085"/>
    <w:rsid w:val="00586773"/>
    <w:rsid w:val="005A7DAF"/>
    <w:rsid w:val="005B47A7"/>
    <w:rsid w:val="00616984"/>
    <w:rsid w:val="00623E70"/>
    <w:rsid w:val="006250F5"/>
    <w:rsid w:val="00635EA5"/>
    <w:rsid w:val="00643B10"/>
    <w:rsid w:val="0068152E"/>
    <w:rsid w:val="00686144"/>
    <w:rsid w:val="006878CC"/>
    <w:rsid w:val="006965AC"/>
    <w:rsid w:val="006A0B85"/>
    <w:rsid w:val="006A5781"/>
    <w:rsid w:val="006B0D60"/>
    <w:rsid w:val="006B3D32"/>
    <w:rsid w:val="006B3E48"/>
    <w:rsid w:val="006D17E4"/>
    <w:rsid w:val="00765AB6"/>
    <w:rsid w:val="007C5890"/>
    <w:rsid w:val="007F4DE1"/>
    <w:rsid w:val="007F6931"/>
    <w:rsid w:val="00801EEE"/>
    <w:rsid w:val="00810D9A"/>
    <w:rsid w:val="00824E8F"/>
    <w:rsid w:val="008525E9"/>
    <w:rsid w:val="008625C3"/>
    <w:rsid w:val="00867DB2"/>
    <w:rsid w:val="0088041B"/>
    <w:rsid w:val="00892842"/>
    <w:rsid w:val="008941AC"/>
    <w:rsid w:val="008B426F"/>
    <w:rsid w:val="008B4481"/>
    <w:rsid w:val="008E5C77"/>
    <w:rsid w:val="008F0907"/>
    <w:rsid w:val="00933042"/>
    <w:rsid w:val="00966DDC"/>
    <w:rsid w:val="00974D6A"/>
    <w:rsid w:val="00977589"/>
    <w:rsid w:val="009839A0"/>
    <w:rsid w:val="00A101FA"/>
    <w:rsid w:val="00A10216"/>
    <w:rsid w:val="00A7173A"/>
    <w:rsid w:val="00AA3666"/>
    <w:rsid w:val="00AA5BE8"/>
    <w:rsid w:val="00AC148E"/>
    <w:rsid w:val="00AE340A"/>
    <w:rsid w:val="00AE69D2"/>
    <w:rsid w:val="00AF5DE8"/>
    <w:rsid w:val="00B02DF2"/>
    <w:rsid w:val="00B07A7E"/>
    <w:rsid w:val="00B17586"/>
    <w:rsid w:val="00B3173C"/>
    <w:rsid w:val="00B34688"/>
    <w:rsid w:val="00B53B95"/>
    <w:rsid w:val="00B541F0"/>
    <w:rsid w:val="00BA4574"/>
    <w:rsid w:val="00BB1700"/>
    <w:rsid w:val="00BB3A53"/>
    <w:rsid w:val="00BD33ED"/>
    <w:rsid w:val="00BD399D"/>
    <w:rsid w:val="00C06000"/>
    <w:rsid w:val="00C137E0"/>
    <w:rsid w:val="00C5210F"/>
    <w:rsid w:val="00C621D8"/>
    <w:rsid w:val="00C626CC"/>
    <w:rsid w:val="00C655D9"/>
    <w:rsid w:val="00C70720"/>
    <w:rsid w:val="00C72F84"/>
    <w:rsid w:val="00C82EB2"/>
    <w:rsid w:val="00CA560B"/>
    <w:rsid w:val="00CC0567"/>
    <w:rsid w:val="00CE2458"/>
    <w:rsid w:val="00D11FD5"/>
    <w:rsid w:val="00D14905"/>
    <w:rsid w:val="00D25659"/>
    <w:rsid w:val="00D30FEA"/>
    <w:rsid w:val="00D34F38"/>
    <w:rsid w:val="00D44D2E"/>
    <w:rsid w:val="00D60DDD"/>
    <w:rsid w:val="00D75634"/>
    <w:rsid w:val="00D76D7C"/>
    <w:rsid w:val="00D77BC9"/>
    <w:rsid w:val="00D93524"/>
    <w:rsid w:val="00DD5022"/>
    <w:rsid w:val="00DE5BC1"/>
    <w:rsid w:val="00DE6717"/>
    <w:rsid w:val="00DF39E6"/>
    <w:rsid w:val="00E2727F"/>
    <w:rsid w:val="00E3195A"/>
    <w:rsid w:val="00E4278C"/>
    <w:rsid w:val="00E539C5"/>
    <w:rsid w:val="00E83A71"/>
    <w:rsid w:val="00E87D92"/>
    <w:rsid w:val="00E95C9C"/>
    <w:rsid w:val="00EC0559"/>
    <w:rsid w:val="00ED1700"/>
    <w:rsid w:val="00F063DD"/>
    <w:rsid w:val="00F17313"/>
    <w:rsid w:val="00F252E3"/>
    <w:rsid w:val="00F33E38"/>
    <w:rsid w:val="00F710FF"/>
    <w:rsid w:val="00F764EC"/>
    <w:rsid w:val="00F84A48"/>
    <w:rsid w:val="00FA689D"/>
    <w:rsid w:val="00FB1B80"/>
    <w:rsid w:val="00FD1AB1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FAA1"/>
  <w15:chartTrackingRefBased/>
  <w15:docId w15:val="{50270F01-2887-4AA8-A390-1A957CA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3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3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3D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3D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3D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3D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3D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3D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3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3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3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3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3D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3D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3D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3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3D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3D3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6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062089"/>
    <w:rPr>
      <w:b/>
      <w:bCs/>
    </w:rPr>
  </w:style>
  <w:style w:type="paragraph" w:styleId="ae">
    <w:name w:val="header"/>
    <w:basedOn w:val="a"/>
    <w:link w:val="af"/>
    <w:uiPriority w:val="99"/>
    <w:unhideWhenUsed/>
    <w:rsid w:val="0096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6DDC"/>
  </w:style>
  <w:style w:type="paragraph" w:styleId="af0">
    <w:name w:val="footer"/>
    <w:basedOn w:val="a"/>
    <w:link w:val="af1"/>
    <w:uiPriority w:val="99"/>
    <w:unhideWhenUsed/>
    <w:rsid w:val="0096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6DDC"/>
  </w:style>
  <w:style w:type="paragraph" w:styleId="af2">
    <w:name w:val="Balloon Text"/>
    <w:basedOn w:val="a"/>
    <w:link w:val="af3"/>
    <w:uiPriority w:val="99"/>
    <w:semiHidden/>
    <w:unhideWhenUsed/>
    <w:rsid w:val="00C82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2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11769</Words>
  <Characters>6709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Світличний</dc:creator>
  <cp:keywords/>
  <dc:description/>
  <cp:lastModifiedBy>opr7</cp:lastModifiedBy>
  <cp:revision>44</cp:revision>
  <cp:lastPrinted>2025-08-22T05:31:00Z</cp:lastPrinted>
  <dcterms:created xsi:type="dcterms:W3CDTF">2025-08-15T08:21:00Z</dcterms:created>
  <dcterms:modified xsi:type="dcterms:W3CDTF">2025-08-25T14:07:00Z</dcterms:modified>
</cp:coreProperties>
</file>