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26" w:rsidRPr="00E64C84" w:rsidRDefault="000C3D26" w:rsidP="000C3D26">
      <w:pPr>
        <w:ind w:left="4956"/>
        <w:rPr>
          <w:i/>
        </w:rPr>
      </w:pPr>
      <w:bookmarkStart w:id="0" w:name="_GoBack"/>
      <w:r w:rsidRPr="00E64C84">
        <w:rPr>
          <w:i/>
          <w:sz w:val="28"/>
          <w:szCs w:val="28"/>
        </w:rPr>
        <w:t xml:space="preserve">                  </w:t>
      </w:r>
      <w:r w:rsidRPr="00E64C84">
        <w:rPr>
          <w:i/>
        </w:rPr>
        <w:t xml:space="preserve">Додаток </w:t>
      </w:r>
      <w:r w:rsidR="00605B19" w:rsidRPr="00E64C84">
        <w:rPr>
          <w:i/>
        </w:rPr>
        <w:t>3</w:t>
      </w:r>
    </w:p>
    <w:p w:rsidR="000C3D26" w:rsidRPr="00E64C84" w:rsidRDefault="009015AB" w:rsidP="009015AB">
      <w:pPr>
        <w:ind w:left="6237"/>
        <w:rPr>
          <w:i/>
        </w:rPr>
      </w:pPr>
      <w:r w:rsidRPr="00E64C84">
        <w:rPr>
          <w:i/>
        </w:rPr>
        <w:t>до р</w:t>
      </w:r>
      <w:r w:rsidR="000C3D26" w:rsidRPr="00E64C84">
        <w:rPr>
          <w:i/>
        </w:rPr>
        <w:t>ішення виконкому міської ради</w:t>
      </w:r>
    </w:p>
    <w:p w:rsidR="009015AB" w:rsidRPr="00E64C84" w:rsidRDefault="00E64C84" w:rsidP="009015AB">
      <w:pPr>
        <w:ind w:left="6237"/>
        <w:rPr>
          <w:i/>
          <w:color w:val="FFFFFF" w:themeColor="background1"/>
        </w:rPr>
      </w:pPr>
      <w:r w:rsidRPr="00E64C84">
        <w:rPr>
          <w:i/>
        </w:rPr>
        <w:t>18.10.2024 №1325</w:t>
      </w:r>
      <w:r w:rsidR="009015AB" w:rsidRPr="00E64C84">
        <w:rPr>
          <w:i/>
          <w:color w:val="FFFFFF" w:themeColor="background1"/>
        </w:rPr>
        <w:t>пункт 1.2)</w:t>
      </w:r>
    </w:p>
    <w:p w:rsidR="009015AB" w:rsidRPr="00E64C84" w:rsidRDefault="009015AB" w:rsidP="009015AB">
      <w:pPr>
        <w:ind w:left="6096"/>
        <w:rPr>
          <w:i/>
        </w:rPr>
      </w:pPr>
    </w:p>
    <w:p w:rsidR="000C3D26" w:rsidRPr="00E64C84" w:rsidRDefault="000C3D26" w:rsidP="000C3D26">
      <w:pPr>
        <w:tabs>
          <w:tab w:val="left" w:pos="6225"/>
        </w:tabs>
        <w:ind w:left="5528"/>
        <w:rPr>
          <w:i/>
          <w:sz w:val="28"/>
          <w:szCs w:val="28"/>
        </w:rPr>
      </w:pPr>
      <w:r w:rsidRPr="00E64C84">
        <w:rPr>
          <w:i/>
          <w:sz w:val="28"/>
          <w:szCs w:val="28"/>
        </w:rPr>
        <w:tab/>
      </w:r>
    </w:p>
    <w:p w:rsidR="000C3D26" w:rsidRPr="00E64C84" w:rsidRDefault="000C3D26" w:rsidP="000C3D26">
      <w:pPr>
        <w:ind w:left="5528"/>
        <w:jc w:val="right"/>
        <w:rPr>
          <w:i/>
          <w:sz w:val="28"/>
          <w:szCs w:val="28"/>
        </w:rPr>
      </w:pPr>
    </w:p>
    <w:p w:rsidR="000C3D26" w:rsidRPr="00E64C84" w:rsidRDefault="000C3D26" w:rsidP="000C3D26">
      <w:pPr>
        <w:jc w:val="center"/>
        <w:rPr>
          <w:b/>
          <w:i/>
          <w:sz w:val="28"/>
          <w:szCs w:val="28"/>
        </w:rPr>
      </w:pPr>
      <w:r w:rsidRPr="00E64C84">
        <w:rPr>
          <w:b/>
          <w:i/>
          <w:sz w:val="28"/>
          <w:szCs w:val="28"/>
        </w:rPr>
        <w:t>ІНФОРМАЦІЙН</w:t>
      </w:r>
      <w:r w:rsidR="00111D82" w:rsidRPr="00E64C84">
        <w:rPr>
          <w:b/>
          <w:i/>
          <w:sz w:val="28"/>
          <w:szCs w:val="28"/>
        </w:rPr>
        <w:t>А</w:t>
      </w:r>
      <w:r w:rsidRPr="00E64C84">
        <w:rPr>
          <w:b/>
          <w:i/>
          <w:sz w:val="28"/>
          <w:szCs w:val="28"/>
        </w:rPr>
        <w:t xml:space="preserve"> КАРТК</w:t>
      </w:r>
      <w:r w:rsidR="00111D82" w:rsidRPr="00E64C84">
        <w:rPr>
          <w:b/>
          <w:i/>
          <w:sz w:val="28"/>
          <w:szCs w:val="28"/>
        </w:rPr>
        <w:t>А</w:t>
      </w:r>
      <w:r w:rsidRPr="00E64C84">
        <w:rPr>
          <w:b/>
          <w:i/>
          <w:sz w:val="28"/>
          <w:szCs w:val="28"/>
        </w:rPr>
        <w:t xml:space="preserve"> </w:t>
      </w:r>
    </w:p>
    <w:p w:rsidR="000C3D26" w:rsidRPr="00E64C84" w:rsidRDefault="000C3D26" w:rsidP="000C3D26">
      <w:pPr>
        <w:jc w:val="center"/>
        <w:rPr>
          <w:b/>
          <w:i/>
          <w:sz w:val="28"/>
          <w:szCs w:val="28"/>
          <w:lang w:eastAsia="uk-UA"/>
        </w:rPr>
      </w:pPr>
      <w:r w:rsidRPr="00E64C84">
        <w:rPr>
          <w:b/>
          <w:i/>
          <w:sz w:val="28"/>
          <w:szCs w:val="28"/>
        </w:rPr>
        <w:t>публічн</w:t>
      </w:r>
      <w:r w:rsidR="00605B19" w:rsidRPr="00E64C84">
        <w:rPr>
          <w:b/>
          <w:i/>
          <w:sz w:val="28"/>
          <w:szCs w:val="28"/>
        </w:rPr>
        <w:t>ої</w:t>
      </w:r>
      <w:r w:rsidRPr="00E64C84">
        <w:rPr>
          <w:b/>
          <w:i/>
          <w:sz w:val="28"/>
          <w:szCs w:val="28"/>
        </w:rPr>
        <w:t xml:space="preserve"> послуг</w:t>
      </w:r>
      <w:r w:rsidR="00605B19" w:rsidRPr="00E64C84">
        <w:rPr>
          <w:b/>
          <w:i/>
          <w:sz w:val="28"/>
          <w:szCs w:val="28"/>
        </w:rPr>
        <w:t>и</w:t>
      </w:r>
      <w:r w:rsidRPr="00E64C84">
        <w:rPr>
          <w:b/>
          <w:i/>
          <w:sz w:val="28"/>
          <w:szCs w:val="28"/>
        </w:rPr>
        <w:t>, що нада</w:t>
      </w:r>
      <w:r w:rsidR="00605B19" w:rsidRPr="00E64C84">
        <w:rPr>
          <w:b/>
          <w:i/>
          <w:sz w:val="28"/>
          <w:szCs w:val="28"/>
        </w:rPr>
        <w:t>є</w:t>
      </w:r>
      <w:r w:rsidRPr="00E64C84">
        <w:rPr>
          <w:b/>
          <w:i/>
          <w:sz w:val="28"/>
          <w:szCs w:val="28"/>
        </w:rPr>
        <w:t>ться управлінням культури  виконкому  Криворізької  міської  ради через Центр  адміністративних послуг «Віза» («Центр Дії»)</w:t>
      </w:r>
      <w:r w:rsidRPr="00E64C84">
        <w:rPr>
          <w:sz w:val="28"/>
          <w:szCs w:val="28"/>
          <w:lang w:eastAsia="uk-UA"/>
        </w:rPr>
        <w:t xml:space="preserve"> </w:t>
      </w:r>
      <w:r w:rsidRPr="00E64C84">
        <w:rPr>
          <w:b/>
          <w:i/>
          <w:sz w:val="28"/>
          <w:szCs w:val="28"/>
          <w:lang w:eastAsia="uk-UA"/>
        </w:rPr>
        <w:t xml:space="preserve">виконкому </w:t>
      </w:r>
      <w:r w:rsidRPr="00E64C84">
        <w:rPr>
          <w:b/>
          <w:i/>
          <w:sz w:val="28"/>
          <w:szCs w:val="28"/>
        </w:rPr>
        <w:t xml:space="preserve"> </w:t>
      </w:r>
      <w:r w:rsidRPr="00E64C84">
        <w:rPr>
          <w:b/>
          <w:i/>
          <w:sz w:val="28"/>
          <w:szCs w:val="28"/>
          <w:lang w:eastAsia="uk-UA"/>
        </w:rPr>
        <w:t>Криворізької міської ради</w:t>
      </w:r>
    </w:p>
    <w:p w:rsidR="000C3D26" w:rsidRPr="00E64C84" w:rsidRDefault="000C3D26" w:rsidP="000C3D26">
      <w:pPr>
        <w:jc w:val="center"/>
        <w:rPr>
          <w:b/>
          <w:i/>
        </w:rPr>
      </w:pPr>
      <w:r w:rsidRPr="00E64C84">
        <w:rPr>
          <w:b/>
          <w:i/>
          <w:lang w:eastAsia="uk-UA"/>
        </w:rPr>
        <w:t xml:space="preserve"> </w:t>
      </w:r>
    </w:p>
    <w:p w:rsidR="000C3D26" w:rsidRPr="00E64C84" w:rsidRDefault="000C3D26" w:rsidP="000C3D26">
      <w:pPr>
        <w:shd w:val="clear" w:color="auto" w:fill="FFFFFF"/>
        <w:jc w:val="center"/>
        <w:textAlignment w:val="baseline"/>
        <w:rPr>
          <w:szCs w:val="28"/>
        </w:rPr>
      </w:pPr>
      <w:r w:rsidRPr="00E64C84">
        <w:rPr>
          <w:b/>
          <w:i/>
          <w:sz w:val="28"/>
          <w:szCs w:val="28"/>
        </w:rPr>
        <w:t>Послуга: Уклад</w:t>
      </w:r>
      <w:r w:rsidR="009015AB" w:rsidRPr="00E64C84">
        <w:rPr>
          <w:b/>
          <w:i/>
          <w:sz w:val="28"/>
          <w:szCs w:val="28"/>
        </w:rPr>
        <w:t>е</w:t>
      </w:r>
      <w:r w:rsidRPr="00E64C84">
        <w:rPr>
          <w:b/>
          <w:i/>
          <w:sz w:val="28"/>
          <w:szCs w:val="28"/>
        </w:rPr>
        <w:t>ння попередніх договорів про уклад</w:t>
      </w:r>
      <w:r w:rsidR="009015AB" w:rsidRPr="00E64C84">
        <w:rPr>
          <w:b/>
          <w:i/>
          <w:sz w:val="28"/>
          <w:szCs w:val="28"/>
        </w:rPr>
        <w:t>е</w:t>
      </w:r>
      <w:r w:rsidRPr="00E64C84">
        <w:rPr>
          <w:b/>
          <w:i/>
          <w:sz w:val="28"/>
          <w:szCs w:val="28"/>
        </w:rPr>
        <w:t xml:space="preserve">ння в майбутньому охоронних договорів на </w:t>
      </w:r>
      <w:r w:rsidRPr="00E64C84">
        <w:rPr>
          <w:b/>
          <w:i/>
          <w:sz w:val="28"/>
          <w:szCs w:val="28"/>
          <w:shd w:val="clear" w:color="auto" w:fill="FFFFFF"/>
        </w:rPr>
        <w:t>пам</w:t>
      </w:r>
      <w:r w:rsidR="00783F80" w:rsidRPr="00E64C84">
        <w:rPr>
          <w:b/>
          <w:i/>
          <w:sz w:val="28"/>
          <w:szCs w:val="28"/>
          <w:shd w:val="clear" w:color="auto" w:fill="FFFFFF"/>
        </w:rPr>
        <w:t>’</w:t>
      </w:r>
      <w:r w:rsidRPr="00E64C84">
        <w:rPr>
          <w:b/>
          <w:i/>
          <w:sz w:val="28"/>
          <w:szCs w:val="28"/>
          <w:shd w:val="clear" w:color="auto" w:fill="FFFFFF"/>
        </w:rPr>
        <w:t xml:space="preserve">ятки культурної спадщини </w:t>
      </w:r>
      <w:r w:rsidRPr="00E64C84">
        <w:rPr>
          <w:b/>
          <w:i/>
          <w:sz w:val="28"/>
          <w:szCs w:val="28"/>
        </w:rPr>
        <w:t>(їх частини</w:t>
      </w:r>
      <w:r w:rsidRPr="00E64C84">
        <w:rPr>
          <w:szCs w:val="28"/>
        </w:rPr>
        <w:t>)</w:t>
      </w:r>
    </w:p>
    <w:p w:rsidR="00B87CB4" w:rsidRPr="00E64C84" w:rsidRDefault="00B87CB4" w:rsidP="000C3D26">
      <w:pPr>
        <w:shd w:val="clear" w:color="auto" w:fill="FFFFFF"/>
        <w:jc w:val="center"/>
        <w:textAlignment w:val="baseline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265"/>
        <w:gridCol w:w="4812"/>
      </w:tblGrid>
      <w:tr w:rsidR="00B87CB4" w:rsidRPr="00E64C84" w:rsidTr="00A766BE">
        <w:tc>
          <w:tcPr>
            <w:tcW w:w="9713" w:type="dxa"/>
            <w:gridSpan w:val="3"/>
          </w:tcPr>
          <w:p w:rsidR="00B87CB4" w:rsidRPr="00E64C84" w:rsidRDefault="00B87CB4" w:rsidP="00A766BE">
            <w:pPr>
              <w:jc w:val="center"/>
            </w:pPr>
            <w:r w:rsidRPr="00E64C84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B87CB4" w:rsidRPr="00E64C84" w:rsidTr="00A766BE">
        <w:tc>
          <w:tcPr>
            <w:tcW w:w="4901" w:type="dxa"/>
            <w:gridSpan w:val="2"/>
          </w:tcPr>
          <w:p w:rsidR="00B87CB4" w:rsidRPr="00E64C84" w:rsidRDefault="00B87CB4" w:rsidP="00A766BE">
            <w:pPr>
              <w:jc w:val="both"/>
            </w:pPr>
            <w:r w:rsidRPr="00E64C84">
              <w:t>Найменування центру надання  адміністра-тивних послуг, у якому здійснюється обслу-говування суб’єкта звернення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both"/>
            </w:pPr>
            <w:r w:rsidRPr="00E64C84">
              <w:t>Центр адміністративних послуг «Віза»</w:t>
            </w:r>
            <w:r w:rsidRPr="00E64C84">
              <w:rPr>
                <w:b/>
                <w:i/>
              </w:rPr>
              <w:t xml:space="preserve"> </w:t>
            </w:r>
            <w:r w:rsidRPr="00E64C84">
              <w:t xml:space="preserve">(«Центр Дії») </w:t>
            </w:r>
            <w:r w:rsidRPr="00E64C84">
              <w:rPr>
                <w:lang w:eastAsia="uk-UA"/>
              </w:rPr>
              <w:t xml:space="preserve">виконкому Криворізької місь-кої ради </w:t>
            </w:r>
            <w:r w:rsidRPr="00E64C84">
              <w:t xml:space="preserve"> (надалі – Центр)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 xml:space="preserve">Місцезнаходження </w:t>
            </w:r>
            <w:r w:rsidR="00605B19" w:rsidRPr="00E64C84">
              <w:t>Ц</w:t>
            </w:r>
            <w:r w:rsidRPr="00E64C84">
              <w:t>ентру</w:t>
            </w:r>
          </w:p>
        </w:tc>
        <w:tc>
          <w:tcPr>
            <w:tcW w:w="4812" w:type="dxa"/>
          </w:tcPr>
          <w:p w:rsidR="009015AB" w:rsidRPr="00E64C84" w:rsidRDefault="009015AB" w:rsidP="009015AB">
            <w:pPr>
              <w:ind w:left="60"/>
              <w:jc w:val="both"/>
            </w:pPr>
            <w:r w:rsidRPr="00E64C84">
              <w:t>пл. Молодіжна, 1, м. Кривий Ріг, 50101.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 xml:space="preserve">Територіальні підрозділи Центру:                  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Довгинцівський район: вул. Дніпровське шосе, буд. 11, каб. 102.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Покровський район: вул. Костя Гордієнка, буд.2, каб.12.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Інгулецький район: пр-т Південний, буд. 1.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Житловий масив Інгулець: вул. Гірників, буд.19 (адміністративна будівля виконав-чого комітету Інгулецької районної у місті ради).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Саксаганський район: вул. Володимира Великого, буд. 32, каб. 122.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 xml:space="preserve">Тернівський район: вул. Антона Ігнатченка, 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буд. 1А, каб. 129.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 xml:space="preserve">Центрально-Міський район: </w:t>
            </w:r>
          </w:p>
          <w:p w:rsidR="00B87CB4" w:rsidRPr="00E64C84" w:rsidRDefault="00B87CB4" w:rsidP="00A766BE">
            <w:pPr>
              <w:ind w:left="60"/>
              <w:jc w:val="both"/>
            </w:pPr>
            <w:r w:rsidRPr="00E64C84">
              <w:t>вул. Староярмаркова, буд. 44.</w:t>
            </w:r>
          </w:p>
          <w:p w:rsidR="00B87CB4" w:rsidRPr="00E64C84" w:rsidRDefault="00B87CB4" w:rsidP="00A766BE">
            <w:pPr>
              <w:ind w:left="60"/>
            </w:pPr>
            <w:r w:rsidRPr="00E64C84">
              <w:t>Мобільн</w:t>
            </w:r>
            <w:r w:rsidR="00605B19" w:rsidRPr="00E64C84">
              <w:t>ий</w:t>
            </w:r>
            <w:r w:rsidRPr="00E64C84">
              <w:t xml:space="preserve"> </w:t>
            </w:r>
            <w:r w:rsidR="00605B19" w:rsidRPr="00E64C84">
              <w:t>сервіс</w:t>
            </w:r>
            <w:r w:rsidRPr="00E64C84">
              <w:t xml:space="preserve"> (за окремим графіком)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2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 xml:space="preserve">Інформація </w:t>
            </w:r>
            <w:r w:rsidR="009015AB" w:rsidRPr="00E64C84">
              <w:t>про</w:t>
            </w:r>
            <w:r w:rsidRPr="00E64C84">
              <w:t xml:space="preserve"> режим роботи </w:t>
            </w:r>
            <w:r w:rsidR="00605B19" w:rsidRPr="00E64C84">
              <w:t>Ц</w:t>
            </w:r>
            <w:r w:rsidRPr="00E64C84">
              <w:t>ентру</w:t>
            </w:r>
          </w:p>
        </w:tc>
        <w:tc>
          <w:tcPr>
            <w:tcW w:w="4812" w:type="dxa"/>
          </w:tcPr>
          <w:p w:rsidR="009015AB" w:rsidRPr="00E64C84" w:rsidRDefault="009015AB" w:rsidP="009015AB">
            <w:pPr>
              <w:shd w:val="clear" w:color="auto" w:fill="FFFFFF"/>
              <w:jc w:val="both"/>
            </w:pPr>
            <w:r w:rsidRPr="00E64C84">
              <w:t>1. Центр працює:</w:t>
            </w:r>
          </w:p>
          <w:p w:rsidR="009015AB" w:rsidRPr="00E64C84" w:rsidRDefault="009015AB" w:rsidP="009015AB">
            <w:pPr>
              <w:shd w:val="clear" w:color="auto" w:fill="FFFFFF"/>
              <w:jc w:val="both"/>
            </w:pPr>
            <w:r w:rsidRPr="00E64C84">
              <w:t xml:space="preserve">   головний офіс: у понеділок, середу, четвер, п’ятницю, суботу з 8.00 до 16.30 години; вівторок з 8.00 до 20.00 години, без перерви;</w:t>
            </w:r>
          </w:p>
          <w:p w:rsidR="009015AB" w:rsidRPr="00E64C84" w:rsidRDefault="009015AB" w:rsidP="009015AB">
            <w:pPr>
              <w:shd w:val="clear" w:color="auto" w:fill="FFFFFF"/>
              <w:jc w:val="both"/>
            </w:pPr>
            <w:r w:rsidRPr="00E64C84">
              <w:t xml:space="preserve">   територіальні підрозділи: з понеділка до п’ятниці з 8.00 до 16.30 години, перерва з 12.30 до 13.00.</w:t>
            </w:r>
          </w:p>
          <w:p w:rsidR="009015AB" w:rsidRPr="00E64C84" w:rsidRDefault="009015AB" w:rsidP="009015AB">
            <w:pPr>
              <w:shd w:val="clear" w:color="auto" w:fill="FFFFFF"/>
              <w:jc w:val="both"/>
            </w:pPr>
            <w:r w:rsidRPr="00E64C84">
              <w:t>2. Прийом та видача документів для надан-ня адміністративних, інших публічних послуг здійснюються:</w:t>
            </w:r>
          </w:p>
          <w:p w:rsidR="009015AB" w:rsidRPr="00E64C84" w:rsidRDefault="009015AB" w:rsidP="009015AB">
            <w:pPr>
              <w:shd w:val="clear" w:color="auto" w:fill="FFFFFF"/>
              <w:jc w:val="both"/>
            </w:pPr>
            <w:r w:rsidRPr="00E64C84">
              <w:t xml:space="preserve">   у головному офісі Центру</w:t>
            </w:r>
            <w:r w:rsidR="00C75101" w:rsidRPr="00E64C84">
              <w:t>:</w:t>
            </w:r>
            <w:r w:rsidRPr="00E64C84">
              <w:t xml:space="preserve"> з 8.00 до 15.30 години з понеділка до суботи (вівторок – до 20.00 години), без перерви;</w:t>
            </w:r>
          </w:p>
          <w:p w:rsidR="009015AB" w:rsidRPr="00E64C84" w:rsidRDefault="009015AB" w:rsidP="009015AB">
            <w:pPr>
              <w:jc w:val="both"/>
            </w:pPr>
            <w:r w:rsidRPr="00E64C84">
              <w:t xml:space="preserve">    у територіальних підрозділах</w:t>
            </w:r>
            <w:r w:rsidR="006B13E0" w:rsidRPr="00E64C84">
              <w:t>:</w:t>
            </w:r>
            <w:r w:rsidRPr="00E64C84">
              <w:t xml:space="preserve"> з понеділка до п’ятниці з 8.00 до 15.30 години, перерва з 12.30 до 13.00</w:t>
            </w:r>
          </w:p>
          <w:p w:rsidR="00605B19" w:rsidRPr="00E64C84" w:rsidRDefault="009015AB" w:rsidP="009015AB">
            <w:pPr>
              <w:jc w:val="both"/>
            </w:pPr>
            <w:r w:rsidRPr="00E64C84">
              <w:lastRenderedPageBreak/>
              <w:t>На період дії правового режиму воєнного стану в Україні прийом громадян, суб’єктів господарювання з питань надання адмі-ністративних, інших публічних послуг здійснюється за єдиним у місті графіком: з понеділка до п’ятниці з 08.00 до 15.30 години з технічною перервою з 12.30 до 13.00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lastRenderedPageBreak/>
              <w:t>3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Телефон/факс (довідки), адреса електронної пошти та вебсайт центру</w:t>
            </w:r>
          </w:p>
        </w:tc>
        <w:tc>
          <w:tcPr>
            <w:tcW w:w="4812" w:type="dxa"/>
          </w:tcPr>
          <w:p w:rsidR="00B87CB4" w:rsidRPr="00E64C84" w:rsidRDefault="00B87CB4" w:rsidP="009015AB">
            <w:pPr>
              <w:jc w:val="both"/>
            </w:pPr>
            <w:r w:rsidRPr="00E64C84">
              <w:t>Тел.: 0-800-500-459</w:t>
            </w:r>
            <w:r w:rsidR="00EF761D" w:rsidRPr="00E64C84">
              <w:t>;</w:t>
            </w:r>
          </w:p>
          <w:p w:rsidR="00B87CB4" w:rsidRPr="00E64C84" w:rsidRDefault="00B87CB4" w:rsidP="009015AB">
            <w:pPr>
              <w:jc w:val="both"/>
            </w:pPr>
            <w:r w:rsidRPr="00E64C84">
              <w:t>viza@kr.gov.ua</w:t>
            </w:r>
            <w:r w:rsidR="00EF761D" w:rsidRPr="00E64C84">
              <w:t>;</w:t>
            </w:r>
          </w:p>
          <w:p w:rsidR="00B87CB4" w:rsidRPr="00E64C84" w:rsidRDefault="0051206F" w:rsidP="00A766BE">
            <w:pPr>
              <w:jc w:val="both"/>
            </w:pPr>
            <w:hyperlink r:id="rId6" w:history="1">
              <w:r w:rsidR="00605B19" w:rsidRPr="00E64C84">
                <w:rPr>
                  <w:rStyle w:val="a3"/>
                  <w:u w:val="none"/>
                </w:rPr>
                <w:t>https://viza.kr.gov.ua</w:t>
              </w:r>
            </w:hyperlink>
            <w:r w:rsidR="00605B19" w:rsidRPr="00E64C84">
              <w:rPr>
                <w:rStyle w:val="a3"/>
                <w:color w:val="1155CC"/>
                <w:u w:val="none"/>
              </w:rPr>
              <w:t xml:space="preserve"> </w:t>
            </w:r>
          </w:p>
        </w:tc>
      </w:tr>
      <w:tr w:rsidR="00B87CB4" w:rsidRPr="00E64C84" w:rsidTr="00A766BE">
        <w:tc>
          <w:tcPr>
            <w:tcW w:w="9713" w:type="dxa"/>
            <w:gridSpan w:val="3"/>
          </w:tcPr>
          <w:p w:rsidR="00B87CB4" w:rsidRPr="00E64C84" w:rsidRDefault="00B87CB4" w:rsidP="00A766BE">
            <w:pPr>
              <w:jc w:val="center"/>
            </w:pPr>
            <w:r w:rsidRPr="00E64C84">
              <w:rPr>
                <w:b/>
                <w:i/>
              </w:rPr>
              <w:t>Нормативні акти, якими регламентується надання публічної послуги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4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Закони</w:t>
            </w:r>
            <w:r w:rsidRPr="00E64C84">
              <w:rPr>
                <w:spacing w:val="-3"/>
              </w:rPr>
              <w:t xml:space="preserve"> </w:t>
            </w:r>
            <w:r w:rsidRPr="00E64C84">
              <w:t>України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pStyle w:val="TableParagraph"/>
              <w:tabs>
                <w:tab w:val="left" w:pos="321"/>
              </w:tabs>
              <w:spacing w:before="0"/>
              <w:ind w:left="35" w:right="89" w:hanging="35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>Закони України «Про місцеве самовря-дування в Україні», «Про охорону культур-ної спадщини», «Про адміністративні послуги», «Про адміністративну про-цедуру»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5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Акти</w:t>
            </w:r>
            <w:r w:rsidRPr="00E64C84">
              <w:rPr>
                <w:spacing w:val="1"/>
              </w:rPr>
              <w:t xml:space="preserve"> </w:t>
            </w:r>
            <w:r w:rsidRPr="00E64C84">
              <w:t>Кабінету</w:t>
            </w:r>
            <w:r w:rsidRPr="00E64C84">
              <w:rPr>
                <w:spacing w:val="1"/>
              </w:rPr>
              <w:t xml:space="preserve"> </w:t>
            </w:r>
            <w:r w:rsidRPr="00E64C84">
              <w:t>Міністрів</w:t>
            </w:r>
            <w:r w:rsidRPr="00E64C84">
              <w:rPr>
                <w:spacing w:val="-67"/>
              </w:rPr>
              <w:t xml:space="preserve"> </w:t>
            </w:r>
            <w:r w:rsidRPr="00E64C84">
              <w:t>України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pStyle w:val="TableParagraph"/>
              <w:tabs>
                <w:tab w:val="left" w:pos="321"/>
              </w:tabs>
              <w:spacing w:before="0"/>
              <w:ind w:left="0" w:right="89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>-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6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Акти місцевих органів виконавчої влади/органів місцевого самоврядува-ння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both"/>
            </w:pPr>
            <w:r w:rsidRPr="00E64C84">
              <w:t>-</w:t>
            </w:r>
          </w:p>
        </w:tc>
      </w:tr>
      <w:tr w:rsidR="00B87CB4" w:rsidRPr="00E64C84" w:rsidTr="00A766BE">
        <w:tc>
          <w:tcPr>
            <w:tcW w:w="9713" w:type="dxa"/>
            <w:gridSpan w:val="3"/>
          </w:tcPr>
          <w:p w:rsidR="00B87CB4" w:rsidRPr="00E64C84" w:rsidRDefault="00B87CB4" w:rsidP="00A766BE">
            <w:pPr>
              <w:jc w:val="center"/>
              <w:rPr>
                <w:color w:val="C00000"/>
              </w:rPr>
            </w:pPr>
            <w:r w:rsidRPr="00E64C84">
              <w:rPr>
                <w:b/>
                <w:i/>
              </w:rPr>
              <w:t>Умови отримання публічної послуги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7</w:t>
            </w:r>
          </w:p>
        </w:tc>
        <w:tc>
          <w:tcPr>
            <w:tcW w:w="4265" w:type="dxa"/>
          </w:tcPr>
          <w:p w:rsidR="00B87CB4" w:rsidRPr="00E64C84" w:rsidRDefault="00B87CB4" w:rsidP="00A766BE">
            <w:r w:rsidRPr="00E64C84">
              <w:t>Підстава для одержання публічної послуги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ind w:right="-60"/>
              <w:jc w:val="both"/>
            </w:pPr>
            <w:r w:rsidRPr="00E64C84">
              <w:t xml:space="preserve">Заява 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8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 xml:space="preserve">Вичерпний </w:t>
            </w:r>
            <w:r w:rsidRPr="00E64C84">
              <w:rPr>
                <w:spacing w:val="-1"/>
                <w:sz w:val="24"/>
                <w:szCs w:val="24"/>
              </w:rPr>
              <w:t xml:space="preserve">перелік </w:t>
            </w:r>
            <w:r w:rsidRPr="00E64C84">
              <w:rPr>
                <w:sz w:val="24"/>
                <w:szCs w:val="24"/>
              </w:rPr>
              <w:t>документів,</w:t>
            </w:r>
            <w:r w:rsidRPr="00E64C84">
              <w:rPr>
                <w:spacing w:val="1"/>
                <w:sz w:val="24"/>
                <w:szCs w:val="24"/>
              </w:rPr>
              <w:t xml:space="preserve"> </w:t>
            </w:r>
            <w:r w:rsidRPr="00E64C84">
              <w:rPr>
                <w:sz w:val="24"/>
                <w:szCs w:val="24"/>
              </w:rPr>
              <w:t>необ-хідних для отри</w:t>
            </w:r>
            <w:r w:rsidRPr="00E64C84">
              <w:rPr>
                <w:spacing w:val="-1"/>
                <w:sz w:val="24"/>
                <w:szCs w:val="24"/>
              </w:rPr>
              <w:t xml:space="preserve">мання </w:t>
            </w:r>
            <w:r w:rsidRPr="00E64C84">
              <w:rPr>
                <w:spacing w:val="-68"/>
                <w:sz w:val="24"/>
                <w:szCs w:val="24"/>
              </w:rPr>
              <w:t xml:space="preserve"> </w:t>
            </w:r>
            <w:r w:rsidRPr="00E64C84">
              <w:rPr>
                <w:sz w:val="24"/>
                <w:szCs w:val="24"/>
              </w:rPr>
              <w:t>публічної по</w:t>
            </w:r>
            <w:r w:rsidR="009015AB" w:rsidRPr="00E64C84">
              <w:rPr>
                <w:sz w:val="24"/>
                <w:szCs w:val="24"/>
              </w:rPr>
              <w:t xml:space="preserve">-       </w:t>
            </w:r>
            <w:r w:rsidRPr="00E64C84">
              <w:rPr>
                <w:sz w:val="24"/>
                <w:szCs w:val="24"/>
              </w:rPr>
              <w:t>слуги, а також вимоги</w:t>
            </w:r>
            <w:r w:rsidRPr="00E64C84">
              <w:rPr>
                <w:spacing w:val="1"/>
                <w:sz w:val="24"/>
                <w:szCs w:val="24"/>
              </w:rPr>
              <w:t xml:space="preserve"> </w:t>
            </w:r>
            <w:r w:rsidRPr="00E64C84">
              <w:rPr>
                <w:sz w:val="24"/>
                <w:szCs w:val="24"/>
              </w:rPr>
              <w:t>до</w:t>
            </w:r>
            <w:r w:rsidRPr="00E64C84">
              <w:rPr>
                <w:spacing w:val="-3"/>
                <w:sz w:val="24"/>
                <w:szCs w:val="24"/>
              </w:rPr>
              <w:t xml:space="preserve"> </w:t>
            </w:r>
            <w:r w:rsidRPr="00E64C84">
              <w:rPr>
                <w:sz w:val="24"/>
                <w:szCs w:val="24"/>
              </w:rPr>
              <w:t xml:space="preserve">них 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shd w:val="clear" w:color="auto" w:fill="FFFFFF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E64C84">
              <w:t xml:space="preserve">1. Заява </w:t>
            </w:r>
            <w:r w:rsidR="00783F80" w:rsidRPr="00E64C84">
              <w:t xml:space="preserve">про </w:t>
            </w:r>
            <w:r w:rsidRPr="00E64C84">
              <w:t>уклад</w:t>
            </w:r>
            <w:r w:rsidR="006B13E0" w:rsidRPr="00E64C84">
              <w:t>е</w:t>
            </w:r>
            <w:r w:rsidRPr="00E64C84">
              <w:t>ння попереднього договору про уклад</w:t>
            </w:r>
            <w:r w:rsidR="006B13E0" w:rsidRPr="00E64C84">
              <w:t>е</w:t>
            </w:r>
            <w:r w:rsidRPr="00E64C84">
              <w:t xml:space="preserve">ння в майбутньому охоронного договору на </w:t>
            </w:r>
            <w:r w:rsidRPr="00E64C84">
              <w:rPr>
                <w:shd w:val="clear" w:color="auto" w:fill="FFFFFF"/>
              </w:rPr>
              <w:t>пам</w:t>
            </w:r>
            <w:r w:rsidR="00534196" w:rsidRPr="00E64C84">
              <w:rPr>
                <w:shd w:val="clear" w:color="auto" w:fill="FFFFFF"/>
              </w:rPr>
              <w:t>’</w:t>
            </w:r>
            <w:r w:rsidRPr="00E64C84">
              <w:rPr>
                <w:shd w:val="clear" w:color="auto" w:fill="FFFFFF"/>
              </w:rPr>
              <w:t xml:space="preserve">ятку культурної спадщини </w:t>
            </w:r>
            <w:r w:rsidRPr="00E64C84">
              <w:t xml:space="preserve">(її частину), </w:t>
            </w:r>
            <w:r w:rsidR="009015AB" w:rsidRPr="00E64C84">
              <w:t>у</w:t>
            </w:r>
            <w:r w:rsidRPr="00E64C84">
              <w:t xml:space="preserve"> якій зазначаються відомості про заявника:</w:t>
            </w:r>
          </w:p>
          <w:p w:rsidR="00B87CB4" w:rsidRPr="00E64C84" w:rsidRDefault="00B87CB4" w:rsidP="00A766BE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 xml:space="preserve">   для фізичної особи, для фізичної особи-  підприємця – прізвище, ім’я</w:t>
            </w:r>
            <w:r w:rsidR="009015AB" w:rsidRPr="00E64C84">
              <w:rPr>
                <w:sz w:val="24"/>
                <w:szCs w:val="24"/>
              </w:rPr>
              <w:t>,</w:t>
            </w:r>
            <w:r w:rsidRPr="00E64C84">
              <w:rPr>
                <w:sz w:val="24"/>
                <w:szCs w:val="24"/>
              </w:rPr>
              <w:t xml:space="preserve"> по батькові, місце проживання, контактний телефон,               e-mail;</w:t>
            </w:r>
          </w:p>
          <w:p w:rsidR="00B87CB4" w:rsidRPr="00E64C84" w:rsidRDefault="00B87CB4" w:rsidP="00A766BE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 xml:space="preserve">   для юридичної особи – найменування  юридичної особи, місцезнаходження, код платника податків згідно з </w:t>
            </w:r>
            <w:r w:rsidRPr="00E64C84">
              <w:rPr>
                <w:sz w:val="24"/>
                <w:szCs w:val="24"/>
                <w:shd w:val="clear" w:color="auto" w:fill="FFFFFF"/>
              </w:rPr>
              <w:t>Єдиним державним реєстром підприємств та організацій України</w:t>
            </w:r>
            <w:r w:rsidRPr="00E64C84">
              <w:rPr>
                <w:sz w:val="24"/>
                <w:szCs w:val="24"/>
              </w:rPr>
              <w:t>, прізвище, ім’я</w:t>
            </w:r>
            <w:r w:rsidR="009015AB" w:rsidRPr="00E64C84">
              <w:rPr>
                <w:sz w:val="24"/>
                <w:szCs w:val="24"/>
              </w:rPr>
              <w:t>,</w:t>
            </w:r>
            <w:r w:rsidRPr="00E64C84">
              <w:rPr>
                <w:sz w:val="24"/>
                <w:szCs w:val="24"/>
              </w:rPr>
              <w:t xml:space="preserve"> по батькові керівника юридичної особи</w:t>
            </w:r>
            <w:r w:rsidR="009015AB" w:rsidRPr="00E64C84">
              <w:rPr>
                <w:sz w:val="24"/>
                <w:szCs w:val="24"/>
              </w:rPr>
              <w:t>/</w:t>
            </w:r>
            <w:r w:rsidRPr="00E64C84">
              <w:rPr>
                <w:sz w:val="24"/>
                <w:szCs w:val="24"/>
              </w:rPr>
              <w:t xml:space="preserve"> уповноваженої особи, контактний телефон, e-mail;</w:t>
            </w:r>
          </w:p>
          <w:p w:rsidR="00B87CB4" w:rsidRPr="00E64C84" w:rsidRDefault="00B87CB4" w:rsidP="00A766BE">
            <w:pPr>
              <w:pStyle w:val="TableParagraph"/>
              <w:tabs>
                <w:tab w:val="left" w:pos="-223"/>
              </w:tabs>
              <w:spacing w:before="0"/>
              <w:ind w:left="0" w:right="89" w:firstLine="61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 xml:space="preserve">   дата  подання та підпис.</w:t>
            </w:r>
          </w:p>
          <w:p w:rsidR="00B87CB4" w:rsidRPr="00E64C84" w:rsidRDefault="00B87CB4" w:rsidP="00A766B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</w:pPr>
            <w:r w:rsidRPr="00E64C84">
              <w:rPr>
                <w:sz w:val="24"/>
                <w:szCs w:val="24"/>
              </w:rPr>
              <w:t>До заяви  додаються засвідчені заявником копії:</w:t>
            </w:r>
          </w:p>
          <w:p w:rsidR="00B87CB4" w:rsidRPr="00E64C84" w:rsidRDefault="00B87CB4" w:rsidP="00A766BE">
            <w:pPr>
              <w:pStyle w:val="TableParagraph"/>
              <w:tabs>
                <w:tab w:val="left" w:pos="-223"/>
              </w:tabs>
              <w:spacing w:before="0"/>
              <w:ind w:left="0" w:right="89" w:firstLine="236"/>
              <w:jc w:val="both"/>
              <w:rPr>
                <w:sz w:val="24"/>
                <w:szCs w:val="24"/>
              </w:rPr>
            </w:pPr>
            <w:r w:rsidRPr="00E64C84">
              <w:rPr>
                <w:sz w:val="24"/>
                <w:szCs w:val="24"/>
              </w:rPr>
              <w:t>статуту підприємства</w:t>
            </w:r>
            <w:r w:rsidR="00F328A0" w:rsidRPr="00E64C84">
              <w:rPr>
                <w:sz w:val="24"/>
                <w:szCs w:val="24"/>
              </w:rPr>
              <w:t xml:space="preserve"> (для юридичних осіб)</w:t>
            </w:r>
            <w:r w:rsidRPr="00E64C84">
              <w:rPr>
                <w:sz w:val="24"/>
                <w:szCs w:val="24"/>
              </w:rPr>
              <w:t>;</w:t>
            </w:r>
          </w:p>
          <w:p w:rsidR="00DB0A18" w:rsidRPr="00E64C84" w:rsidRDefault="00DB0A18" w:rsidP="00DB0A18">
            <w:pPr>
              <w:shd w:val="clear" w:color="auto" w:fill="FFFFFF"/>
              <w:ind w:firstLine="236"/>
              <w:jc w:val="both"/>
            </w:pPr>
            <w:r w:rsidRPr="00E64C84">
              <w:t xml:space="preserve">технічного паспорту на </w:t>
            </w:r>
            <w:r w:rsidR="00C87E19" w:rsidRPr="00E64C84">
              <w:t>пам’ятку</w:t>
            </w:r>
            <w:r w:rsidR="002104AD" w:rsidRPr="00E64C84">
              <w:t xml:space="preserve"> (за наявності)</w:t>
            </w:r>
            <w:r w:rsidRPr="00E64C84">
              <w:t>;</w:t>
            </w:r>
          </w:p>
          <w:p w:rsidR="00B87CB4" w:rsidRPr="00E64C84" w:rsidRDefault="005C4A26" w:rsidP="00605B19">
            <w:pPr>
              <w:shd w:val="clear" w:color="auto" w:fill="FFFFFF"/>
              <w:ind w:firstLine="236"/>
              <w:jc w:val="both"/>
              <w:rPr>
                <w:rFonts w:ascii="HypatiaSansPro Regular" w:hAnsi="HypatiaSansPro Regular"/>
                <w:color w:val="232323"/>
              </w:rPr>
            </w:pPr>
            <w:r w:rsidRPr="00E64C84">
              <w:rPr>
                <w:rFonts w:ascii="HypatiaSansPro Regular" w:hAnsi="HypatiaSansPro Regular"/>
                <w:color w:val="232323"/>
              </w:rPr>
              <w:t>копія паспорту та коду (для фізичних осіб)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9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  <w:rPr>
                <w:spacing w:val="-68"/>
              </w:rPr>
            </w:pPr>
            <w:r w:rsidRPr="00E64C84">
              <w:t xml:space="preserve">Порядок та спосіб подання документів, необхідних для отримання публічної послуги 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both"/>
            </w:pPr>
            <w:r w:rsidRPr="00E64C84">
              <w:t>Заявник для одержання публічної послуги звертається до Центру (його територіальн</w:t>
            </w:r>
            <w:r w:rsidR="00605B19" w:rsidRPr="00E64C84">
              <w:t>их</w:t>
            </w:r>
            <w:r w:rsidRPr="00E64C84">
              <w:t xml:space="preserve"> підрозділ</w:t>
            </w:r>
            <w:r w:rsidR="00605B19" w:rsidRPr="00E64C84">
              <w:t>ів)</w:t>
            </w:r>
            <w:r w:rsidRPr="00E64C84">
              <w:t xml:space="preserve"> особисто, через представника (законного представника) або документи </w:t>
            </w:r>
            <w:r w:rsidRPr="00E64C84">
              <w:lastRenderedPageBreak/>
              <w:t>надсилаються  поштою (рекомендованим листом з описом вкладення)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lastRenderedPageBreak/>
              <w:t>10</w:t>
            </w:r>
          </w:p>
        </w:tc>
        <w:tc>
          <w:tcPr>
            <w:tcW w:w="4265" w:type="dxa"/>
          </w:tcPr>
          <w:p w:rsidR="00B87CB4" w:rsidRPr="00E64C84" w:rsidRDefault="00B87CB4" w:rsidP="00A766BE">
            <w:r w:rsidRPr="00E64C84">
              <w:t xml:space="preserve">Платність (безоплатність) </w:t>
            </w:r>
            <w:r w:rsidRPr="00E64C84">
              <w:rPr>
                <w:spacing w:val="-67"/>
              </w:rPr>
              <w:t xml:space="preserve"> </w:t>
            </w:r>
            <w:r w:rsidRPr="00E64C84">
              <w:t xml:space="preserve">надання   публічної </w:t>
            </w:r>
            <w:r w:rsidRPr="00E64C84">
              <w:rPr>
                <w:spacing w:val="-67"/>
              </w:rPr>
              <w:t xml:space="preserve">              </w:t>
            </w:r>
            <w:r w:rsidRPr="00E64C84">
              <w:t>послуги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both"/>
            </w:pPr>
            <w:r w:rsidRPr="00E64C84">
              <w:t>Публічна послуга є безплатною</w:t>
            </w:r>
          </w:p>
        </w:tc>
      </w:tr>
      <w:tr w:rsidR="00B87CB4" w:rsidRPr="00E64C84" w:rsidTr="00A766BE">
        <w:tc>
          <w:tcPr>
            <w:tcW w:w="9713" w:type="dxa"/>
            <w:gridSpan w:val="3"/>
          </w:tcPr>
          <w:p w:rsidR="00B87CB4" w:rsidRPr="00E64C84" w:rsidRDefault="00B87CB4" w:rsidP="00A766BE">
            <w:pPr>
              <w:jc w:val="center"/>
            </w:pPr>
            <w:r w:rsidRPr="00E64C84">
              <w:rPr>
                <w:b/>
                <w:i/>
              </w:rPr>
              <w:t>У разі оплати публічної послуги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10.1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Нормативно-правові акти,</w:t>
            </w:r>
            <w:r w:rsidRPr="00E64C84">
              <w:rPr>
                <w:spacing w:val="1"/>
              </w:rPr>
              <w:t xml:space="preserve"> </w:t>
            </w:r>
            <w:r w:rsidRPr="00E64C84">
              <w:t>на</w:t>
            </w:r>
            <w:r w:rsidRPr="00E64C84">
              <w:rPr>
                <w:spacing w:val="1"/>
              </w:rPr>
              <w:t xml:space="preserve"> </w:t>
            </w:r>
            <w:r w:rsidRPr="00E64C84">
              <w:t>підставі</w:t>
            </w:r>
            <w:r w:rsidRPr="00E64C84">
              <w:rPr>
                <w:spacing w:val="1"/>
              </w:rPr>
              <w:t xml:space="preserve"> </w:t>
            </w:r>
            <w:r w:rsidRPr="00E64C84">
              <w:t>яких</w:t>
            </w:r>
            <w:r w:rsidRPr="00E64C84">
              <w:rPr>
                <w:spacing w:val="1"/>
              </w:rPr>
              <w:t xml:space="preserve"> </w:t>
            </w:r>
            <w:r w:rsidRPr="00E64C84">
              <w:t>стягується</w:t>
            </w:r>
            <w:r w:rsidRPr="00E64C84">
              <w:rPr>
                <w:spacing w:val="-1"/>
              </w:rPr>
              <w:t xml:space="preserve"> </w:t>
            </w:r>
            <w:r w:rsidRPr="00E64C84">
              <w:t>плата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center"/>
            </w:pPr>
            <w:r w:rsidRPr="00E64C84">
              <w:t>-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10.2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 xml:space="preserve">Розмір та </w:t>
            </w:r>
            <w:r w:rsidRPr="00E64C84">
              <w:rPr>
                <w:spacing w:val="-1"/>
              </w:rPr>
              <w:t>порядок</w:t>
            </w:r>
            <w:r w:rsidRPr="00E64C84">
              <w:rPr>
                <w:spacing w:val="-67"/>
              </w:rPr>
              <w:t xml:space="preserve"> </w:t>
            </w:r>
            <w:r w:rsidRPr="00E64C84">
              <w:t xml:space="preserve">внесення </w:t>
            </w:r>
            <w:r w:rsidRPr="00E64C84">
              <w:rPr>
                <w:spacing w:val="-1"/>
              </w:rPr>
              <w:t>плати</w:t>
            </w:r>
            <w:r w:rsidRPr="00E64C84">
              <w:rPr>
                <w:spacing w:val="-67"/>
              </w:rPr>
              <w:t xml:space="preserve"> </w:t>
            </w:r>
            <w:r w:rsidRPr="00E64C84">
              <w:t>(адміністративного</w:t>
            </w:r>
            <w:r w:rsidRPr="00E64C84">
              <w:rPr>
                <w:spacing w:val="1"/>
              </w:rPr>
              <w:t xml:space="preserve"> </w:t>
            </w:r>
            <w:r w:rsidRPr="00E64C84">
              <w:t xml:space="preserve">збору) </w:t>
            </w:r>
            <w:r w:rsidRPr="00E64C84">
              <w:tab/>
              <w:t xml:space="preserve">за платну </w:t>
            </w:r>
            <w:r w:rsidRPr="00E64C84">
              <w:rPr>
                <w:spacing w:val="-67"/>
              </w:rPr>
              <w:t xml:space="preserve">  </w:t>
            </w:r>
            <w:r w:rsidRPr="00E64C84">
              <w:t>публічну</w:t>
            </w:r>
            <w:r w:rsidRPr="00E64C84">
              <w:rPr>
                <w:spacing w:val="-7"/>
              </w:rPr>
              <w:t xml:space="preserve"> </w:t>
            </w:r>
            <w:r w:rsidRPr="00E64C84">
              <w:t>послугу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center"/>
            </w:pPr>
            <w:r w:rsidRPr="00E64C84">
              <w:t>-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10.3</w:t>
            </w:r>
          </w:p>
        </w:tc>
        <w:tc>
          <w:tcPr>
            <w:tcW w:w="4265" w:type="dxa"/>
          </w:tcPr>
          <w:p w:rsidR="00B87CB4" w:rsidRPr="00E64C84" w:rsidRDefault="00B87CB4" w:rsidP="00A766BE">
            <w:r w:rsidRPr="00E64C84">
              <w:t xml:space="preserve">Розрахунковий </w:t>
            </w:r>
            <w:r w:rsidRPr="00E64C84">
              <w:rPr>
                <w:spacing w:val="-1"/>
              </w:rPr>
              <w:t xml:space="preserve">рахунок </w:t>
            </w:r>
            <w:r w:rsidRPr="00E64C84">
              <w:t>для внесення</w:t>
            </w:r>
            <w:r w:rsidRPr="00E64C84">
              <w:rPr>
                <w:spacing w:val="-3"/>
              </w:rPr>
              <w:t xml:space="preserve"> </w:t>
            </w:r>
            <w:r w:rsidRPr="00E64C84">
              <w:t>плати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center"/>
            </w:pPr>
            <w:r w:rsidRPr="00E64C84">
              <w:t>-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11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 xml:space="preserve">Строк </w:t>
            </w:r>
            <w:r w:rsidRPr="00E64C84">
              <w:rPr>
                <w:spacing w:val="-1"/>
              </w:rPr>
              <w:t xml:space="preserve">надання </w:t>
            </w:r>
            <w:r w:rsidRPr="00E64C84">
              <w:t>публічної послуги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jc w:val="both"/>
            </w:pPr>
            <w:r w:rsidRPr="00E64C84">
              <w:t>14 календарних</w:t>
            </w:r>
            <w:r w:rsidRPr="00E64C84">
              <w:rPr>
                <w:spacing w:val="-1"/>
              </w:rPr>
              <w:t xml:space="preserve"> </w:t>
            </w:r>
            <w:r w:rsidRPr="00E64C84">
              <w:t>днів</w:t>
            </w:r>
          </w:p>
          <w:p w:rsidR="00B87CB4" w:rsidRPr="00E64C84" w:rsidRDefault="00B87CB4" w:rsidP="00A766BE">
            <w:pPr>
              <w:jc w:val="both"/>
            </w:pP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12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  <w:rPr>
                <w:spacing w:val="-67"/>
              </w:rPr>
            </w:pPr>
            <w:r w:rsidRPr="00E64C84">
              <w:t>Перелік</w:t>
            </w:r>
            <w:r w:rsidRPr="00E64C84">
              <w:rPr>
                <w:spacing w:val="1"/>
              </w:rPr>
              <w:t xml:space="preserve"> </w:t>
            </w:r>
            <w:r w:rsidRPr="00E64C84">
              <w:t>підстав</w:t>
            </w:r>
            <w:r w:rsidRPr="00E64C84">
              <w:rPr>
                <w:spacing w:val="1"/>
              </w:rPr>
              <w:t xml:space="preserve"> </w:t>
            </w:r>
            <w:r w:rsidRPr="00E64C84">
              <w:t>для</w:t>
            </w:r>
            <w:r w:rsidRPr="00E64C84">
              <w:rPr>
                <w:spacing w:val="-67"/>
              </w:rPr>
              <w:t xml:space="preserve"> </w:t>
            </w:r>
            <w:r w:rsidR="00EF761D" w:rsidRPr="00E64C84">
              <w:rPr>
                <w:spacing w:val="-67"/>
              </w:rPr>
              <w:t xml:space="preserve">        </w:t>
            </w:r>
            <w:r w:rsidRPr="00E64C84">
              <w:t>відмови</w:t>
            </w:r>
            <w:r w:rsidRPr="00E64C84">
              <w:rPr>
                <w:spacing w:val="1"/>
              </w:rPr>
              <w:t xml:space="preserve"> </w:t>
            </w:r>
            <w:r w:rsidRPr="00E64C84">
              <w:t>в</w:t>
            </w:r>
            <w:r w:rsidRPr="00E64C84">
              <w:rPr>
                <w:spacing w:val="1"/>
              </w:rPr>
              <w:t xml:space="preserve"> </w:t>
            </w:r>
            <w:r w:rsidRPr="00E64C84">
              <w:t>наданні</w:t>
            </w:r>
            <w:r w:rsidRPr="00E64C84">
              <w:rPr>
                <w:spacing w:val="1"/>
              </w:rPr>
              <w:t xml:space="preserve"> </w:t>
            </w:r>
            <w:r w:rsidRPr="00E64C84">
              <w:t>публічної</w:t>
            </w:r>
            <w:r w:rsidRPr="00E64C84">
              <w:rPr>
                <w:spacing w:val="-9"/>
              </w:rPr>
              <w:t xml:space="preserve"> </w:t>
            </w:r>
            <w:r w:rsidRPr="00E64C84">
              <w:t>послуги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bookmarkStart w:id="1" w:name="1ksv4uv" w:colFirst="0" w:colLast="0"/>
            <w:bookmarkStart w:id="2" w:name="2jxsxqh" w:colFirst="0" w:colLast="0"/>
            <w:bookmarkEnd w:id="1"/>
            <w:bookmarkEnd w:id="2"/>
            <w:r w:rsidRPr="00E64C84">
              <w:t>1. Подання неповного пакета документів, необхідних для  отримання послуги, згідно  з установленим вичерпним переліком.</w:t>
            </w:r>
          </w:p>
          <w:p w:rsidR="00B87CB4" w:rsidRPr="00E64C84" w:rsidRDefault="00B87CB4" w:rsidP="00A7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E64C84">
              <w:t>2. Документи суперечать вимогам законо-давства</w:t>
            </w:r>
            <w:r w:rsidR="00C87E19" w:rsidRPr="00E64C84">
              <w:t xml:space="preserve"> України</w:t>
            </w:r>
            <w:r w:rsidRPr="00E64C84">
              <w:t>.</w:t>
            </w:r>
          </w:p>
          <w:p w:rsidR="00B87CB4" w:rsidRPr="00E64C84" w:rsidRDefault="00B87CB4" w:rsidP="00A7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E64C84">
              <w:t>3. Виявлення в поданих документах  недо-</w:t>
            </w:r>
            <w:r w:rsidR="00EF761D" w:rsidRPr="00E64C84">
              <w:t>с</w:t>
            </w:r>
            <w:r w:rsidRPr="00E64C84">
              <w:t>товірних  відомостей</w:t>
            </w:r>
            <w:bookmarkStart w:id="3" w:name="3j2qqm3" w:colFirst="0" w:colLast="0"/>
            <w:bookmarkStart w:id="4" w:name="1y810tw" w:colFirst="0" w:colLast="0"/>
            <w:bookmarkStart w:id="5" w:name="4i7ojhp" w:colFirst="0" w:colLast="0"/>
            <w:bookmarkStart w:id="6" w:name="2xcytpi" w:colFirst="0" w:colLast="0"/>
            <w:bookmarkStart w:id="7" w:name="1ci93xb" w:colFirst="0" w:colLast="0"/>
            <w:bookmarkEnd w:id="3"/>
            <w:bookmarkEnd w:id="4"/>
            <w:bookmarkEnd w:id="5"/>
            <w:bookmarkEnd w:id="6"/>
            <w:bookmarkEnd w:id="7"/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13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Залишення заяви без руху у відпо-відності до ст.43 Закону України «Про адміністративну процедуру»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60"/>
              <w:jc w:val="both"/>
            </w:pPr>
            <w:r w:rsidRPr="00E64C84">
              <w:t>До трьох робочих днів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14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  <w:rPr>
                <w:spacing w:val="-67"/>
              </w:rPr>
            </w:pPr>
            <w:r w:rsidRPr="00E64C84">
              <w:t xml:space="preserve">Результат </w:t>
            </w:r>
            <w:r w:rsidRPr="00E64C84">
              <w:rPr>
                <w:spacing w:val="-1"/>
              </w:rPr>
              <w:t xml:space="preserve">надання </w:t>
            </w:r>
            <w:r w:rsidRPr="00E64C84">
              <w:rPr>
                <w:spacing w:val="-67"/>
              </w:rPr>
              <w:t xml:space="preserve">                                </w:t>
            </w:r>
            <w:r w:rsidRPr="00E64C84">
              <w:t>публічної послуги</w:t>
            </w:r>
          </w:p>
        </w:tc>
        <w:tc>
          <w:tcPr>
            <w:tcW w:w="4812" w:type="dxa"/>
          </w:tcPr>
          <w:p w:rsidR="00B87CB4" w:rsidRPr="00E64C84" w:rsidRDefault="005C4A26" w:rsidP="00A766BE">
            <w:pPr>
              <w:shd w:val="clear" w:color="auto" w:fill="FFFFFF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E64C84">
              <w:t>Уклад</w:t>
            </w:r>
            <w:r w:rsidR="00BC1B65" w:rsidRPr="00E64C84">
              <w:t>е</w:t>
            </w:r>
            <w:r w:rsidRPr="00E64C84">
              <w:t>ння попереднього договору про уклад</w:t>
            </w:r>
            <w:r w:rsidR="00BC1B65" w:rsidRPr="00E64C84">
              <w:t>е</w:t>
            </w:r>
            <w:r w:rsidRPr="00E64C84">
              <w:t xml:space="preserve">ння в майбутньому охоронного договору на </w:t>
            </w:r>
            <w:r w:rsidRPr="00E64C84">
              <w:rPr>
                <w:shd w:val="clear" w:color="auto" w:fill="FFFFFF"/>
              </w:rPr>
              <w:t xml:space="preserve">пам’ятку культурної спадщини </w:t>
            </w:r>
            <w:r w:rsidRPr="00E64C84">
              <w:t xml:space="preserve">(її частину) </w:t>
            </w:r>
            <w:r w:rsidR="00B87CB4" w:rsidRPr="00E64C84">
              <w:t xml:space="preserve">між </w:t>
            </w:r>
            <w:r w:rsidRPr="00E64C84">
              <w:t xml:space="preserve">майбутнім </w:t>
            </w:r>
            <w:r w:rsidR="00B87CB4" w:rsidRPr="00E64C84">
              <w:rPr>
                <w:shd w:val="clear" w:color="auto" w:fill="FFFFFF"/>
              </w:rPr>
              <w:t>власником пам’ятки (її частини)</w:t>
            </w:r>
            <w:r w:rsidR="00EA562F" w:rsidRPr="00E64C84">
              <w:rPr>
                <w:shd w:val="clear" w:color="auto" w:fill="FFFFFF"/>
              </w:rPr>
              <w:t xml:space="preserve"> та органом охорони культурної спадщини</w:t>
            </w:r>
            <w:r w:rsidR="00B87CB4" w:rsidRPr="00E64C84">
              <w:t xml:space="preserve">, що оформлюється </w:t>
            </w:r>
            <w:r w:rsidR="00EF761D" w:rsidRPr="00E64C84">
              <w:t>в</w:t>
            </w:r>
            <w:r w:rsidR="00B87CB4" w:rsidRPr="00E64C84">
              <w:t xml:space="preserve"> паперовому вигляді управлінням  культури виконкому  Криворізької міської ради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15</w:t>
            </w:r>
          </w:p>
        </w:tc>
        <w:tc>
          <w:tcPr>
            <w:tcW w:w="4265" w:type="dxa"/>
          </w:tcPr>
          <w:p w:rsidR="00B87CB4" w:rsidRPr="00E64C84" w:rsidRDefault="00B87CB4" w:rsidP="00A766BE">
            <w:r w:rsidRPr="00E64C84">
              <w:t xml:space="preserve">Способи </w:t>
            </w:r>
            <w:r w:rsidRPr="00E64C84">
              <w:rPr>
                <w:spacing w:val="-1"/>
              </w:rPr>
              <w:t xml:space="preserve">отримання </w:t>
            </w:r>
            <w:r w:rsidRPr="00E64C84">
              <w:t>відповіді</w:t>
            </w:r>
            <w:r w:rsidRPr="00E64C84">
              <w:rPr>
                <w:spacing w:val="-1"/>
              </w:rPr>
              <w:t xml:space="preserve"> </w:t>
            </w:r>
            <w:r w:rsidRPr="00E64C84">
              <w:t>(резуль-тату)</w:t>
            </w:r>
          </w:p>
        </w:tc>
        <w:tc>
          <w:tcPr>
            <w:tcW w:w="4812" w:type="dxa"/>
          </w:tcPr>
          <w:p w:rsidR="00B87CB4" w:rsidRPr="00E64C84" w:rsidRDefault="00B87CB4" w:rsidP="00A766BE">
            <w:pPr>
              <w:ind w:right="-60"/>
              <w:jc w:val="both"/>
            </w:pPr>
            <w:r w:rsidRPr="00E64C84">
              <w:t>Особисто або через представника (законного представника)</w:t>
            </w:r>
          </w:p>
        </w:tc>
      </w:tr>
      <w:tr w:rsidR="00B87CB4" w:rsidRPr="00E64C84" w:rsidTr="00A766BE">
        <w:tc>
          <w:tcPr>
            <w:tcW w:w="636" w:type="dxa"/>
          </w:tcPr>
          <w:p w:rsidR="00B87CB4" w:rsidRPr="00E64C84" w:rsidRDefault="00B87CB4" w:rsidP="00A766BE">
            <w:pPr>
              <w:jc w:val="center"/>
            </w:pPr>
            <w:r w:rsidRPr="00E64C84">
              <w:t>16</w:t>
            </w:r>
          </w:p>
        </w:tc>
        <w:tc>
          <w:tcPr>
            <w:tcW w:w="4265" w:type="dxa"/>
          </w:tcPr>
          <w:p w:rsidR="00B87CB4" w:rsidRPr="00E64C84" w:rsidRDefault="00B87CB4" w:rsidP="00A766BE">
            <w:pPr>
              <w:jc w:val="both"/>
            </w:pPr>
            <w:r w:rsidRPr="00E64C84">
              <w:t>Примітка</w:t>
            </w:r>
          </w:p>
        </w:tc>
        <w:tc>
          <w:tcPr>
            <w:tcW w:w="4812" w:type="dxa"/>
          </w:tcPr>
          <w:p w:rsidR="00B87CB4" w:rsidRPr="00E64C84" w:rsidRDefault="00B87CB4" w:rsidP="00A766BE">
            <w:r w:rsidRPr="00E64C84">
              <w:t>-</w:t>
            </w:r>
          </w:p>
        </w:tc>
      </w:tr>
    </w:tbl>
    <w:p w:rsidR="00B87CB4" w:rsidRPr="00E64C84" w:rsidRDefault="00B87CB4" w:rsidP="000C3D26">
      <w:pPr>
        <w:shd w:val="clear" w:color="auto" w:fill="FFFFFF"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</w:p>
    <w:p w:rsidR="005C4A26" w:rsidRPr="00E64C84" w:rsidRDefault="005C4A26" w:rsidP="000C3D26">
      <w:pPr>
        <w:tabs>
          <w:tab w:val="left" w:pos="7088"/>
        </w:tabs>
        <w:jc w:val="both"/>
        <w:rPr>
          <w:b/>
          <w:i/>
          <w:sz w:val="28"/>
          <w:szCs w:val="28"/>
        </w:rPr>
      </w:pPr>
    </w:p>
    <w:p w:rsidR="00EF761D" w:rsidRPr="00E64C84" w:rsidRDefault="00EF761D" w:rsidP="000C3D26">
      <w:pPr>
        <w:tabs>
          <w:tab w:val="left" w:pos="7088"/>
        </w:tabs>
        <w:jc w:val="both"/>
        <w:rPr>
          <w:b/>
          <w:i/>
          <w:sz w:val="40"/>
          <w:szCs w:val="40"/>
        </w:rPr>
      </w:pPr>
    </w:p>
    <w:p w:rsidR="000C3D26" w:rsidRPr="00E64C84" w:rsidRDefault="000C3D26" w:rsidP="000C3D26">
      <w:pPr>
        <w:tabs>
          <w:tab w:val="left" w:pos="7088"/>
        </w:tabs>
        <w:jc w:val="both"/>
        <w:rPr>
          <w:b/>
          <w:i/>
          <w:sz w:val="28"/>
          <w:szCs w:val="28"/>
        </w:rPr>
      </w:pPr>
      <w:r w:rsidRPr="00E64C84">
        <w:rPr>
          <w:b/>
          <w:i/>
          <w:sz w:val="28"/>
          <w:szCs w:val="28"/>
        </w:rPr>
        <w:t xml:space="preserve">Керуюча справами виконкому                                       Олена ШОВГЕЛЯ </w:t>
      </w:r>
    </w:p>
    <w:p w:rsidR="000C3D26" w:rsidRPr="00E64C84" w:rsidRDefault="000C3D26" w:rsidP="000C3D26">
      <w:pPr>
        <w:jc w:val="both"/>
      </w:pPr>
    </w:p>
    <w:bookmarkEnd w:id="0"/>
    <w:p w:rsidR="006323F2" w:rsidRPr="00E64C84" w:rsidRDefault="006323F2"/>
    <w:sectPr w:rsidR="006323F2" w:rsidRPr="00E64C84" w:rsidSect="00B87CB4">
      <w:headerReference w:type="default" r:id="rId7"/>
      <w:pgSz w:w="11906" w:h="16838"/>
      <w:pgMar w:top="993" w:right="566" w:bottom="993" w:left="1276" w:header="567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6F" w:rsidRDefault="0051206F">
      <w:r>
        <w:separator/>
      </w:r>
    </w:p>
  </w:endnote>
  <w:endnote w:type="continuationSeparator" w:id="0">
    <w:p w:rsidR="0051206F" w:rsidRDefault="0051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ypatiaSansPr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6F" w:rsidRDefault="0051206F">
      <w:r>
        <w:separator/>
      </w:r>
    </w:p>
  </w:footnote>
  <w:footnote w:type="continuationSeparator" w:id="0">
    <w:p w:rsidR="0051206F" w:rsidRDefault="0051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55" w:rsidRDefault="006B13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0"/>
        <w:szCs w:val="20"/>
      </w:rPr>
    </w:pPr>
    <w:r>
      <w:rPr>
        <w:color w:val="000000"/>
      </w:rPr>
      <w:t xml:space="preserve">        </w:t>
    </w:r>
    <w:r w:rsidR="005C4A26">
      <w:rPr>
        <w:color w:val="000000"/>
      </w:rPr>
      <w:tab/>
    </w:r>
    <w:r w:rsidR="00EF761D">
      <w:rPr>
        <w:color w:val="000000"/>
      </w:rPr>
      <w:t xml:space="preserve">                                                                         </w:t>
    </w:r>
    <w:r w:rsidR="005C4A26">
      <w:rPr>
        <w:color w:val="000000"/>
        <w:sz w:val="20"/>
        <w:szCs w:val="20"/>
      </w:rPr>
      <w:fldChar w:fldCharType="begin"/>
    </w:r>
    <w:r w:rsidR="005C4A26">
      <w:rPr>
        <w:color w:val="000000"/>
        <w:sz w:val="20"/>
        <w:szCs w:val="20"/>
      </w:rPr>
      <w:instrText>PAGE</w:instrText>
    </w:r>
    <w:r w:rsidR="005C4A26">
      <w:rPr>
        <w:color w:val="000000"/>
        <w:sz w:val="20"/>
        <w:szCs w:val="20"/>
      </w:rPr>
      <w:fldChar w:fldCharType="separate"/>
    </w:r>
    <w:r w:rsidR="00E64C84">
      <w:rPr>
        <w:noProof/>
        <w:color w:val="000000"/>
        <w:sz w:val="20"/>
        <w:szCs w:val="20"/>
      </w:rPr>
      <w:t>3</w:t>
    </w:r>
    <w:r w:rsidR="005C4A26">
      <w:rPr>
        <w:color w:val="000000"/>
        <w:sz w:val="20"/>
        <w:szCs w:val="20"/>
      </w:rPr>
      <w:fldChar w:fldCharType="end"/>
    </w:r>
    <w:r w:rsidR="00EF761D">
      <w:rPr>
        <w:color w:val="000000"/>
        <w:sz w:val="20"/>
        <w:szCs w:val="20"/>
      </w:rPr>
      <w:t xml:space="preserve">                                          </w:t>
    </w:r>
    <w:r w:rsidR="00EF761D">
      <w:rPr>
        <w:i/>
        <w:color w:val="000000"/>
      </w:rPr>
      <w:t>Продовження додатка 3</w:t>
    </w:r>
    <w:r w:rsidR="005C4A26">
      <w:rPr>
        <w:color w:val="000000"/>
        <w:sz w:val="20"/>
        <w:szCs w:val="20"/>
      </w:rPr>
      <w:tab/>
    </w:r>
  </w:p>
  <w:p w:rsidR="00503055" w:rsidRPr="00C77816" w:rsidRDefault="005C4A26" w:rsidP="001A3CCC">
    <w:pPr>
      <w:rPr>
        <w:i/>
        <w:color w:val="000000" w:themeColor="text1"/>
      </w:rPr>
    </w:pPr>
    <w:r>
      <w:rPr>
        <w:i/>
      </w:rPr>
      <w:t xml:space="preserve">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6"/>
    <w:rsid w:val="000029D0"/>
    <w:rsid w:val="00030A50"/>
    <w:rsid w:val="00086200"/>
    <w:rsid w:val="000C3D26"/>
    <w:rsid w:val="00111D82"/>
    <w:rsid w:val="001A14EE"/>
    <w:rsid w:val="001F6DD4"/>
    <w:rsid w:val="002104AD"/>
    <w:rsid w:val="0051206F"/>
    <w:rsid w:val="00534196"/>
    <w:rsid w:val="005C4A26"/>
    <w:rsid w:val="00605B19"/>
    <w:rsid w:val="006323F2"/>
    <w:rsid w:val="00632428"/>
    <w:rsid w:val="006B13E0"/>
    <w:rsid w:val="00783F80"/>
    <w:rsid w:val="009015AB"/>
    <w:rsid w:val="009B7CDC"/>
    <w:rsid w:val="00A0251B"/>
    <w:rsid w:val="00A22CD8"/>
    <w:rsid w:val="00B87CB4"/>
    <w:rsid w:val="00BA409C"/>
    <w:rsid w:val="00BC1B65"/>
    <w:rsid w:val="00BF5920"/>
    <w:rsid w:val="00C54F69"/>
    <w:rsid w:val="00C75101"/>
    <w:rsid w:val="00C87E19"/>
    <w:rsid w:val="00CB4065"/>
    <w:rsid w:val="00D77A4F"/>
    <w:rsid w:val="00DA7921"/>
    <w:rsid w:val="00DB0A18"/>
    <w:rsid w:val="00E64C84"/>
    <w:rsid w:val="00EA562F"/>
    <w:rsid w:val="00EF761D"/>
    <w:rsid w:val="00F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ECFC-93ED-443B-84AD-DB62D8D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C3D26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0C3D26"/>
    <w:rPr>
      <w:color w:val="0000FF"/>
      <w:u w:val="single"/>
    </w:rPr>
  </w:style>
  <w:style w:type="table" w:styleId="a4">
    <w:name w:val="Table Grid"/>
    <w:basedOn w:val="a1"/>
    <w:uiPriority w:val="59"/>
    <w:rsid w:val="000C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0C3D26"/>
  </w:style>
  <w:style w:type="character" w:customStyle="1" w:styleId="UnresolvedMention">
    <w:name w:val="Unresolved Mention"/>
    <w:basedOn w:val="a0"/>
    <w:uiPriority w:val="99"/>
    <w:semiHidden/>
    <w:unhideWhenUsed/>
    <w:rsid w:val="00605B1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F7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6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F7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6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0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9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za.kr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16</cp:revision>
  <cp:lastPrinted>2024-10-11T09:34:00Z</cp:lastPrinted>
  <dcterms:created xsi:type="dcterms:W3CDTF">2024-10-04T11:26:00Z</dcterms:created>
  <dcterms:modified xsi:type="dcterms:W3CDTF">2024-10-22T13:56:00Z</dcterms:modified>
</cp:coreProperties>
</file>