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F3" w:rsidRPr="0023252A" w:rsidRDefault="00956FD2" w:rsidP="00956FD2">
      <w:pPr>
        <w:spacing w:after="0" w:line="228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</w:pPr>
      <w:r w:rsidRPr="0023252A">
        <w:rPr>
          <w:rFonts w:ascii="Times New Roman" w:eastAsia="Times New Roman" w:hAnsi="Times New Roman"/>
          <w:bCs/>
          <w:i/>
          <w:iCs/>
          <w:sz w:val="26"/>
          <w:szCs w:val="26"/>
          <w:lang w:val="uk-UA"/>
        </w:rPr>
        <w:t xml:space="preserve">                                                   </w:t>
      </w:r>
      <w:r w:rsidR="00F56D69" w:rsidRPr="0023252A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Додаток 1</w:t>
      </w:r>
    </w:p>
    <w:p w:rsidR="00F56D69" w:rsidRPr="0023252A" w:rsidRDefault="00F364F3" w:rsidP="00F56D69">
      <w:pPr>
        <w:spacing w:after="0" w:line="228" w:lineRule="auto"/>
        <w:jc w:val="right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</w:pPr>
      <w:r w:rsidRPr="0023252A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до рішення виконкому міської ради</w:t>
      </w:r>
    </w:p>
    <w:p w:rsidR="00F56D69" w:rsidRPr="0023252A" w:rsidRDefault="0023252A" w:rsidP="0023252A">
      <w:pPr>
        <w:tabs>
          <w:tab w:val="left" w:pos="5865"/>
        </w:tabs>
        <w:spacing w:after="0" w:line="228" w:lineRule="auto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</w:pPr>
      <w:r w:rsidRPr="0023252A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ab/>
      </w:r>
      <w:r w:rsidRPr="0023252A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18.03.2024 №331</w:t>
      </w:r>
    </w:p>
    <w:p w:rsidR="00F364F3" w:rsidRPr="0023252A" w:rsidRDefault="00F364F3" w:rsidP="00A47907">
      <w:pPr>
        <w:spacing w:after="0" w:line="228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</w:pPr>
    </w:p>
    <w:p w:rsidR="00F364F3" w:rsidRPr="0023252A" w:rsidRDefault="00F364F3" w:rsidP="00727D59">
      <w:pPr>
        <w:spacing w:before="120"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bookmarkStart w:id="0" w:name="_GoBack"/>
      <w:bookmarkEnd w:id="0"/>
    </w:p>
    <w:p w:rsidR="00A47907" w:rsidRPr="0023252A" w:rsidRDefault="00A47907" w:rsidP="00A47907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23252A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ІНФОРМАЦІЙНІ КАРТКИ </w:t>
      </w:r>
    </w:p>
    <w:p w:rsidR="00A47907" w:rsidRPr="0023252A" w:rsidRDefault="008E784F" w:rsidP="008E784F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23252A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адміністративних послуг у сфері реєстрації місця проживання </w:t>
      </w:r>
      <w:r w:rsidR="00104C39" w:rsidRPr="0023252A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фізичних осіб</w:t>
      </w:r>
      <w:r w:rsidRPr="0023252A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, що надаються департаментом адміністративних послуг виконкому Криворізької міської ради через Центр адміністративних послуг «Віза» («Центр Дії») виконкому Криворізької міської ради</w:t>
      </w:r>
    </w:p>
    <w:p w:rsidR="008E784F" w:rsidRPr="0023252A" w:rsidRDefault="008E784F" w:rsidP="008E784F">
      <w:pPr>
        <w:spacing w:after="0" w:line="228" w:lineRule="auto"/>
        <w:ind w:left="-284" w:right="-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A47907" w:rsidRPr="0023252A" w:rsidRDefault="00C33886" w:rsidP="00C3388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25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/>
        </w:rPr>
        <w:tab/>
      </w:r>
      <w:r w:rsidR="00A47907" w:rsidRPr="002325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/>
        </w:rPr>
        <w:t>ІНФОРМАЦІЙНА</w:t>
      </w:r>
      <w:r w:rsidR="00A47907" w:rsidRPr="0023252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 </w:t>
      </w:r>
      <w:r w:rsidR="00A47907" w:rsidRPr="002325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/>
        </w:rPr>
        <w:t xml:space="preserve">КАРТКА АДМІНІСТРАТИВНОЇ ПОСЛУГИ №1 </w:t>
      </w:r>
      <w:r w:rsidRPr="002325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/>
        </w:rPr>
        <w:tab/>
      </w:r>
    </w:p>
    <w:p w:rsidR="00A47907" w:rsidRPr="0023252A" w:rsidRDefault="00A47907" w:rsidP="00A4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7907" w:rsidRPr="0023252A" w:rsidRDefault="00BB2F8A" w:rsidP="00A4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2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Послуга: Реєстрація </w:t>
      </w:r>
      <w:r w:rsidR="00A47907" w:rsidRPr="00232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місця проживання</w:t>
      </w: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918"/>
        <w:gridCol w:w="6237"/>
      </w:tblGrid>
      <w:tr w:rsidR="00A47907" w:rsidRPr="0023252A" w:rsidTr="00807B90">
        <w:trPr>
          <w:trHeight w:val="326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23252A" w:rsidRDefault="00A47907" w:rsidP="00A4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A47907" w:rsidRPr="0023252A" w:rsidTr="00807B9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23252A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23252A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818" w:rsidRPr="0023252A" w:rsidRDefault="00956FD2" w:rsidP="00C33886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90818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аспортний документ особи (паспорт громадянина України, тимчасове посвідчення громадянина України, посвідка на постійне проживання, посвідка на тимчасове проживання, посвідчення біженця, посвідчення особи, яка потребує додаткового захисту, посвідчення особи, як</w:t>
            </w:r>
            <w:r w:rsidR="009D24FA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 надано тимчасовий захист)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</w:t>
            </w:r>
            <w:r w:rsidR="00290818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документ, що посвідчує особу без громадянства, з особистими даними);</w:t>
            </w:r>
          </w:p>
          <w:p w:rsidR="0087209E" w:rsidRPr="0023252A" w:rsidRDefault="0087209E" w:rsidP="00C33886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Іноземці, особи без громадянства, які для реєстрації місця проживання подали посвідку на постійне проживання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посвідку на тимчасове проживання, додатково подають паспортний документ іноземця або документ, що посвідчує особу без громадянства, </w:t>
            </w:r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рішення про визнання особою без громадянства, видане центральним органом виконавчої влади, що реалізує політику у сфері реєстрації фізичних осіб, та засвідчений у встановленому за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конодавством порядку переклад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українськ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мов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рінки паспортного документа іноземця </w:t>
            </w:r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документа, що посвідчує особу без </w:t>
            </w:r>
            <w:r w:rsidR="00691E9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громадянства,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особистими даними.</w:t>
            </w:r>
          </w:p>
          <w:p w:rsidR="0087209E" w:rsidRPr="0023252A" w:rsidRDefault="0087209E" w:rsidP="00C33886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разі подання заяви про реєстрацію місця проживання (перебування) особою, яка не досягла 18-річного віку, реєстрація місця проживання (перебування) здійснюється за згодою батьків </w:t>
            </w:r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законних представників такої особи.</w:t>
            </w:r>
          </w:p>
          <w:p w:rsidR="0087209E" w:rsidRPr="0023252A" w:rsidRDefault="0087209E" w:rsidP="00C33886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Згода не надається 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разі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коли особа 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здобувачем освіти та здійснює реєстрацію свого місця 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проживання (перебування) у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гуртожитку, що належить до сфери управління закладу освіти.</w:t>
            </w:r>
          </w:p>
          <w:p w:rsidR="0087209E" w:rsidRPr="0023252A" w:rsidRDefault="0087209E" w:rsidP="00C33886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Згода батьків </w:t>
            </w:r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законних 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представників може бути надана в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присутності особи, яка приймає заяву про реєстра</w:t>
            </w:r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цію місця проживання,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aбо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засвідчена нотаріально в установленому законодавством порядку.</w:t>
            </w:r>
          </w:p>
          <w:p w:rsidR="0087209E" w:rsidRPr="0023252A" w:rsidRDefault="0087209E" w:rsidP="00C33886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коли місце проживання батьків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законних представників особи віком до 18 років задекларовано/зареєстровано за однією </w:t>
            </w:r>
            <w:proofErr w:type="spellStart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згода іншого з батьків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законних представників не надає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ться.</w:t>
            </w:r>
          </w:p>
          <w:p w:rsidR="0087209E" w:rsidRPr="0023252A" w:rsidRDefault="0087209E" w:rsidP="0087209E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коли реє</w:t>
            </w:r>
            <w:r w:rsidR="002D693B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трація місця проживання здійснюється одночасно із зняттям з попереднього місця проживання (перебування), окрема заява про зняття із задекларовано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го/зареєстрованого місця проживання не подається.</w:t>
            </w:r>
          </w:p>
          <w:p w:rsidR="0087209E" w:rsidRPr="0023252A" w:rsidRDefault="0087209E" w:rsidP="00C33886">
            <w:pPr>
              <w:spacing w:after="0" w:line="240" w:lineRule="auto"/>
              <w:ind w:right="-60" w:firstLine="169"/>
              <w:jc w:val="both"/>
              <w:rPr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Забороняється вимагати для реєстрації місця проживання (перебування) подання особою відомостей та/</w:t>
            </w:r>
            <w:r w:rsidR="009E364A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 документів, не передбачених</w:t>
            </w:r>
            <w:r w:rsidR="002D693B" w:rsidRPr="002325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F56D69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Законом</w:t>
            </w:r>
            <w:r w:rsidR="009E364A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A47907" w:rsidRPr="0023252A" w:rsidTr="00807B90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23252A" w:rsidRDefault="00A47907" w:rsidP="00A479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325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23252A" w:rsidRDefault="00A47907" w:rsidP="00A479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32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58B" w:rsidRPr="0023252A" w:rsidRDefault="00EC258B" w:rsidP="002A04ED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Реєстрація місця проживання особи не </w:t>
            </w:r>
            <w:r w:rsidR="00B43830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підставою</w:t>
            </w:r>
            <w:r w:rsidR="00B2544E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набуття такою особою права володіння, користування чи розпорядження житлом (у тому числі не </w:t>
            </w:r>
            <w:r w:rsidR="00B43830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підставою для вселення чи визнання за особою права на проживання та/або права користування житлом), про проживання в якому особа повідомила.</w:t>
            </w:r>
          </w:p>
          <w:p w:rsidR="00EC258B" w:rsidRPr="0023252A" w:rsidRDefault="00EC258B" w:rsidP="002A04ED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Особа може зареєструвати своє місце проживання (перебування) лише за однією </w:t>
            </w:r>
            <w:proofErr w:type="spellStart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C258B" w:rsidRPr="0023252A" w:rsidRDefault="00EC258B" w:rsidP="002A04ED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Назначе</w:t>
            </w:r>
            <w:r w:rsidR="00691E9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норма не поширюються на осіб,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адреса задекларованого/зареєстрованого місця проживання (перебування) яких </w:t>
            </w:r>
            <w:r w:rsidR="00C33886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перебуває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територіях, </w:t>
            </w:r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яких ведуться бойові дії, або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 окупованих Р</w:t>
            </w:r>
            <w:r w:rsidR="00B43830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осійською Федерацією територіях,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включених до переліку територій, на яких </w:t>
            </w:r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ведуться (велися) бойові дії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aбо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 окупованих Російською Федерацією, затвердженого Мін</w:t>
            </w:r>
            <w:r w:rsidR="000E29D9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істерством з питань р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еінтеграції</w:t>
            </w:r>
            <w:r w:rsidR="000E29D9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 окупованих території України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для яких не визначена дата завершення бойових дій (припинення можливості бойових дій)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тимчасової окупації. Така особа може зареєструвати місце свого проживання без зняття з реєстрації місця свого </w:t>
            </w:r>
            <w:r w:rsidR="000E29D9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попереднього проживання та без у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несення будь-яких відміток до паспорта громадянина України, виготовленого у формі книжечки.</w:t>
            </w:r>
          </w:p>
          <w:p w:rsidR="00EC258B" w:rsidRPr="0023252A" w:rsidRDefault="00EC258B" w:rsidP="002A04ED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даному випадку, відомості про адресу задекларованого/зареєстрованого місця проживання (перебування), що </w:t>
            </w:r>
            <w:r w:rsidR="000E29D9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перебуває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територіях, на яких ведуться бойові дії,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 окупованих Р</w:t>
            </w:r>
            <w:r w:rsidR="00F247BB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осійською Федерацією територіях,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включених до переліку територій, на яких ведуться (велися) бойові дії</w:t>
            </w:r>
            <w:r w:rsidR="009E364A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 окупованих Російською Федерацією, затвердженого </w:t>
            </w:r>
            <w:r w:rsidR="000E29D9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Міністерством з питань реінтеграції тимчасово окупованих території України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для яких не визначена дата завершення бойових дій (припинення можливості бойових дій)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тимчасової окупації, вносяться до реєстру територіальної громади, яка здійснила відповідну реєстраційну дію за межами таких територій.</w:t>
            </w:r>
          </w:p>
          <w:p w:rsidR="00EC258B" w:rsidRPr="0023252A" w:rsidRDefault="00EC258B" w:rsidP="002A04ED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період тимчасової окупації Російською Федерацією території України</w:t>
            </w:r>
            <w:r w:rsidR="000E29D9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а також на період віднесення в порядку, у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становленому Кабінетом Міністрів України, територіальних громад до територій, на яких ведуться (велися) бойові дії, зареєстрованим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задекларованим місцем проживання дитини вважати зареєстроване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30006F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адеклароване місце проживання її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батьків </w:t>
            </w:r>
            <w:r w:rsidR="000E29D9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інших законних представників або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одного з них, з яким проживає дитина.</w:t>
            </w:r>
          </w:p>
          <w:p w:rsidR="002D693B" w:rsidRPr="0023252A" w:rsidRDefault="00EC258B" w:rsidP="002A04ED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 про зареєстроване місце проживання дитини на тимчасово окупованій Російською Федерацією терито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рії України, а також на територіях, на яких ведуться (велися) бойові дії, визначених у поря</w:t>
            </w:r>
            <w:r w:rsidR="0030006F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дку,</w:t>
            </w:r>
            <w:r w:rsidR="009E364A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становлен</w:t>
            </w:r>
            <w:r w:rsidR="0030006F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ому Кабінетом Міністрів України,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заявою батьків </w:t>
            </w:r>
            <w:proofErr w:type="spellStart"/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законних представників чи одного з них вносяться до реєстру територіальної громади відповідним органом реєстрації під час декларування </w:t>
            </w:r>
            <w:r w:rsidR="00956FD2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реєстрації місця проживання дитини чи за бажанням батьків або</w:t>
            </w:r>
            <w:r w:rsidR="000E29D9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законних представників або</w:t>
            </w:r>
            <w:r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одного з них, якщо інформація про таку дитину міститься в реєстрі цієї територіальної </w:t>
            </w:r>
            <w:r w:rsidR="002A04ED" w:rsidRPr="002325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</w:tr>
    </w:tbl>
    <w:p w:rsidR="00532D8E" w:rsidRPr="0023252A" w:rsidRDefault="00532D8E" w:rsidP="00A479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2D8E" w:rsidRPr="0023252A" w:rsidRDefault="00532D8E" w:rsidP="00A479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3544"/>
      </w:tblGrid>
      <w:tr w:rsidR="00F165BA" w:rsidRPr="0023252A" w:rsidTr="00E95C43">
        <w:trPr>
          <w:trHeight w:val="1354"/>
        </w:trPr>
        <w:tc>
          <w:tcPr>
            <w:tcW w:w="4962" w:type="dxa"/>
            <w:shd w:val="clear" w:color="auto" w:fill="auto"/>
          </w:tcPr>
          <w:p w:rsidR="00F165BA" w:rsidRPr="0023252A" w:rsidRDefault="00F165BA" w:rsidP="00E95C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F165BA" w:rsidRPr="0023252A" w:rsidRDefault="00177912" w:rsidP="0017791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25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Керуюча</w:t>
            </w:r>
            <w:r w:rsidR="000E29D9" w:rsidRPr="002325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справами виконкому</w:t>
            </w:r>
          </w:p>
        </w:tc>
        <w:tc>
          <w:tcPr>
            <w:tcW w:w="2126" w:type="dxa"/>
          </w:tcPr>
          <w:p w:rsidR="00F165BA" w:rsidRPr="0023252A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F165BA" w:rsidRPr="0023252A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165BA" w:rsidRPr="0023252A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165BA" w:rsidRPr="0023252A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25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  <w:p w:rsidR="00F165BA" w:rsidRPr="0023252A" w:rsidRDefault="00F165BA" w:rsidP="00E95C4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830968" w:rsidRPr="0023252A" w:rsidRDefault="00830968">
      <w:pPr>
        <w:rPr>
          <w:lang w:val="uk-UA"/>
        </w:rPr>
      </w:pPr>
    </w:p>
    <w:sectPr w:rsidR="00830968" w:rsidRPr="0023252A" w:rsidSect="00F56D69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90" w:rsidRDefault="001D0790" w:rsidP="008E784F">
      <w:pPr>
        <w:spacing w:after="0" w:line="240" w:lineRule="auto"/>
      </w:pPr>
      <w:r>
        <w:separator/>
      </w:r>
    </w:p>
  </w:endnote>
  <w:endnote w:type="continuationSeparator" w:id="0">
    <w:p w:rsidR="001D0790" w:rsidRDefault="001D0790" w:rsidP="008E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90" w:rsidRDefault="001D0790" w:rsidP="008E784F">
      <w:pPr>
        <w:spacing w:after="0" w:line="240" w:lineRule="auto"/>
      </w:pPr>
      <w:r>
        <w:separator/>
      </w:r>
    </w:p>
  </w:footnote>
  <w:footnote w:type="continuationSeparator" w:id="0">
    <w:p w:rsidR="001D0790" w:rsidRDefault="001D0790" w:rsidP="008E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598694"/>
      <w:docPartObj>
        <w:docPartGallery w:val="Page Numbers (Top of Page)"/>
        <w:docPartUnique/>
      </w:docPartObj>
    </w:sdtPr>
    <w:sdtEndPr/>
    <w:sdtContent>
      <w:p w:rsidR="00F56D69" w:rsidRDefault="00F56D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D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6D69" w:rsidRPr="00404E2E" w:rsidRDefault="00404E2E" w:rsidP="00404E2E">
    <w:pPr>
      <w:pStyle w:val="a5"/>
      <w:tabs>
        <w:tab w:val="clear" w:pos="4677"/>
        <w:tab w:val="clear" w:pos="9355"/>
      </w:tabs>
      <w:ind w:right="-143"/>
      <w:rPr>
        <w:rFonts w:ascii="Times New Roman" w:hAnsi="Times New Roman" w:cs="Times New Roman"/>
        <w:i/>
        <w:sz w:val="24"/>
        <w:szCs w:val="24"/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lang w:val="uk-UA"/>
      </w:rPr>
      <w:t xml:space="preserve">       </w:t>
    </w:r>
    <w:r w:rsidR="00F247BB">
      <w:rPr>
        <w:lang w:val="uk-UA"/>
      </w:rPr>
      <w:t xml:space="preserve">  </w:t>
    </w:r>
    <w:r>
      <w:rPr>
        <w:lang w:val="uk-UA"/>
      </w:rPr>
      <w:t xml:space="preserve">  </w:t>
    </w:r>
    <w:r w:rsidRPr="00404E2E"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</w:t>
    </w:r>
    <w:r>
      <w:rPr>
        <w:rFonts w:ascii="Times New Roman" w:hAnsi="Times New Roman" w:cs="Times New Roman"/>
        <w:i/>
        <w:sz w:val="24"/>
        <w:szCs w:val="24"/>
        <w:lang w:val="uk-UA"/>
      </w:rPr>
      <w:t>додатка</w:t>
    </w:r>
    <w:r w:rsidR="00F247BB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D43"/>
    <w:multiLevelType w:val="hybridMultilevel"/>
    <w:tmpl w:val="8634E75C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BB3"/>
    <w:multiLevelType w:val="hybridMultilevel"/>
    <w:tmpl w:val="B51EC0D0"/>
    <w:lvl w:ilvl="0" w:tplc="84BA7CFC">
      <w:start w:val="2"/>
      <w:numFmt w:val="decimal"/>
      <w:lvlText w:val="%1)"/>
      <w:lvlJc w:val="left"/>
      <w:pPr>
        <w:ind w:left="157" w:hanging="547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6752227E">
      <w:numFmt w:val="bullet"/>
      <w:lvlText w:val="•"/>
      <w:lvlJc w:val="left"/>
      <w:pPr>
        <w:ind w:left="774" w:hanging="547"/>
      </w:pPr>
      <w:rPr>
        <w:rFonts w:hint="default"/>
        <w:lang w:val="uk-UA" w:eastAsia="en-US" w:bidi="ar-SA"/>
      </w:rPr>
    </w:lvl>
    <w:lvl w:ilvl="2" w:tplc="9F68FC92">
      <w:numFmt w:val="bullet"/>
      <w:lvlText w:val="•"/>
      <w:lvlJc w:val="left"/>
      <w:pPr>
        <w:ind w:left="1388" w:hanging="547"/>
      </w:pPr>
      <w:rPr>
        <w:rFonts w:hint="default"/>
        <w:lang w:val="uk-UA" w:eastAsia="en-US" w:bidi="ar-SA"/>
      </w:rPr>
    </w:lvl>
    <w:lvl w:ilvl="3" w:tplc="100C074C">
      <w:numFmt w:val="bullet"/>
      <w:lvlText w:val="•"/>
      <w:lvlJc w:val="left"/>
      <w:pPr>
        <w:ind w:left="2002" w:hanging="547"/>
      </w:pPr>
      <w:rPr>
        <w:rFonts w:hint="default"/>
        <w:lang w:val="uk-UA" w:eastAsia="en-US" w:bidi="ar-SA"/>
      </w:rPr>
    </w:lvl>
    <w:lvl w:ilvl="4" w:tplc="322630EA">
      <w:numFmt w:val="bullet"/>
      <w:lvlText w:val="•"/>
      <w:lvlJc w:val="left"/>
      <w:pPr>
        <w:ind w:left="2616" w:hanging="547"/>
      </w:pPr>
      <w:rPr>
        <w:rFonts w:hint="default"/>
        <w:lang w:val="uk-UA" w:eastAsia="en-US" w:bidi="ar-SA"/>
      </w:rPr>
    </w:lvl>
    <w:lvl w:ilvl="5" w:tplc="F6A6E442">
      <w:numFmt w:val="bullet"/>
      <w:lvlText w:val="•"/>
      <w:lvlJc w:val="left"/>
      <w:pPr>
        <w:ind w:left="3230" w:hanging="547"/>
      </w:pPr>
      <w:rPr>
        <w:rFonts w:hint="default"/>
        <w:lang w:val="uk-UA" w:eastAsia="en-US" w:bidi="ar-SA"/>
      </w:rPr>
    </w:lvl>
    <w:lvl w:ilvl="6" w:tplc="3718E82A">
      <w:numFmt w:val="bullet"/>
      <w:lvlText w:val="•"/>
      <w:lvlJc w:val="left"/>
      <w:pPr>
        <w:ind w:left="3844" w:hanging="547"/>
      </w:pPr>
      <w:rPr>
        <w:rFonts w:hint="default"/>
        <w:lang w:val="uk-UA" w:eastAsia="en-US" w:bidi="ar-SA"/>
      </w:rPr>
    </w:lvl>
    <w:lvl w:ilvl="7" w:tplc="51C6B118">
      <w:numFmt w:val="bullet"/>
      <w:lvlText w:val="•"/>
      <w:lvlJc w:val="left"/>
      <w:pPr>
        <w:ind w:left="4458" w:hanging="547"/>
      </w:pPr>
      <w:rPr>
        <w:rFonts w:hint="default"/>
        <w:lang w:val="uk-UA" w:eastAsia="en-US" w:bidi="ar-SA"/>
      </w:rPr>
    </w:lvl>
    <w:lvl w:ilvl="8" w:tplc="63067860">
      <w:numFmt w:val="bullet"/>
      <w:lvlText w:val="•"/>
      <w:lvlJc w:val="left"/>
      <w:pPr>
        <w:ind w:left="5072" w:hanging="547"/>
      </w:pPr>
      <w:rPr>
        <w:rFonts w:hint="default"/>
        <w:lang w:val="uk-UA" w:eastAsia="en-US" w:bidi="ar-SA"/>
      </w:rPr>
    </w:lvl>
  </w:abstractNum>
  <w:abstractNum w:abstractNumId="2" w15:restartNumberingAfterBreak="0">
    <w:nsid w:val="2FED668D"/>
    <w:multiLevelType w:val="hybridMultilevel"/>
    <w:tmpl w:val="0EF0893A"/>
    <w:lvl w:ilvl="0" w:tplc="18C47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0B0A"/>
    <w:multiLevelType w:val="hybridMultilevel"/>
    <w:tmpl w:val="7CC655BA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B359E"/>
    <w:multiLevelType w:val="hybridMultilevel"/>
    <w:tmpl w:val="4D284ECA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211A8"/>
    <w:multiLevelType w:val="hybridMultilevel"/>
    <w:tmpl w:val="37681404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07"/>
    <w:rsid w:val="000017A1"/>
    <w:rsid w:val="00012C78"/>
    <w:rsid w:val="000176A7"/>
    <w:rsid w:val="00017D69"/>
    <w:rsid w:val="000279F5"/>
    <w:rsid w:val="00040D6D"/>
    <w:rsid w:val="00055068"/>
    <w:rsid w:val="000A7846"/>
    <w:rsid w:val="000E29D9"/>
    <w:rsid w:val="000E41CD"/>
    <w:rsid w:val="00104C39"/>
    <w:rsid w:val="00132192"/>
    <w:rsid w:val="00152B52"/>
    <w:rsid w:val="0016195B"/>
    <w:rsid w:val="001620E8"/>
    <w:rsid w:val="00167B36"/>
    <w:rsid w:val="00177912"/>
    <w:rsid w:val="001D0790"/>
    <w:rsid w:val="002048D1"/>
    <w:rsid w:val="0022139C"/>
    <w:rsid w:val="00231ADC"/>
    <w:rsid w:val="0023252A"/>
    <w:rsid w:val="00232EDA"/>
    <w:rsid w:val="002433E7"/>
    <w:rsid w:val="002659AC"/>
    <w:rsid w:val="00274809"/>
    <w:rsid w:val="00290818"/>
    <w:rsid w:val="002A04ED"/>
    <w:rsid w:val="002A51AE"/>
    <w:rsid w:val="002D693B"/>
    <w:rsid w:val="002E43C3"/>
    <w:rsid w:val="0030006F"/>
    <w:rsid w:val="003109C6"/>
    <w:rsid w:val="003B6C3A"/>
    <w:rsid w:val="003E7F61"/>
    <w:rsid w:val="0040161D"/>
    <w:rsid w:val="00404E2E"/>
    <w:rsid w:val="0043109C"/>
    <w:rsid w:val="00467EB3"/>
    <w:rsid w:val="00486C1B"/>
    <w:rsid w:val="004959E6"/>
    <w:rsid w:val="004A52BE"/>
    <w:rsid w:val="004C3124"/>
    <w:rsid w:val="004D2176"/>
    <w:rsid w:val="00506951"/>
    <w:rsid w:val="00532D8E"/>
    <w:rsid w:val="00543D12"/>
    <w:rsid w:val="00572B9D"/>
    <w:rsid w:val="005947CF"/>
    <w:rsid w:val="00596BDB"/>
    <w:rsid w:val="005B70F6"/>
    <w:rsid w:val="005C3F3C"/>
    <w:rsid w:val="005F686E"/>
    <w:rsid w:val="006776D5"/>
    <w:rsid w:val="006903DC"/>
    <w:rsid w:val="00691E92"/>
    <w:rsid w:val="006F4D8C"/>
    <w:rsid w:val="00727D59"/>
    <w:rsid w:val="00733A42"/>
    <w:rsid w:val="00747142"/>
    <w:rsid w:val="00771E59"/>
    <w:rsid w:val="00773959"/>
    <w:rsid w:val="00785D17"/>
    <w:rsid w:val="00796E1C"/>
    <w:rsid w:val="007B2E36"/>
    <w:rsid w:val="007D259E"/>
    <w:rsid w:val="00807B90"/>
    <w:rsid w:val="00811E31"/>
    <w:rsid w:val="00830968"/>
    <w:rsid w:val="008458C4"/>
    <w:rsid w:val="0087209E"/>
    <w:rsid w:val="008734B2"/>
    <w:rsid w:val="00884AED"/>
    <w:rsid w:val="008B13C8"/>
    <w:rsid w:val="008D359E"/>
    <w:rsid w:val="008E784F"/>
    <w:rsid w:val="00921CE4"/>
    <w:rsid w:val="00923295"/>
    <w:rsid w:val="00935B4C"/>
    <w:rsid w:val="00935EDE"/>
    <w:rsid w:val="00956FD2"/>
    <w:rsid w:val="00970933"/>
    <w:rsid w:val="0097515E"/>
    <w:rsid w:val="00993C19"/>
    <w:rsid w:val="009A5CFC"/>
    <w:rsid w:val="009B1D98"/>
    <w:rsid w:val="009C47A5"/>
    <w:rsid w:val="009D24FA"/>
    <w:rsid w:val="009E364A"/>
    <w:rsid w:val="009E4B45"/>
    <w:rsid w:val="009E6C6D"/>
    <w:rsid w:val="00A47907"/>
    <w:rsid w:val="00AA4818"/>
    <w:rsid w:val="00B13F14"/>
    <w:rsid w:val="00B2544E"/>
    <w:rsid w:val="00B27345"/>
    <w:rsid w:val="00B43830"/>
    <w:rsid w:val="00BB2F8A"/>
    <w:rsid w:val="00BD1C23"/>
    <w:rsid w:val="00BD38E8"/>
    <w:rsid w:val="00BE05CF"/>
    <w:rsid w:val="00BE72B5"/>
    <w:rsid w:val="00C142C2"/>
    <w:rsid w:val="00C254EF"/>
    <w:rsid w:val="00C33886"/>
    <w:rsid w:val="00C9682E"/>
    <w:rsid w:val="00D03FB4"/>
    <w:rsid w:val="00DF322B"/>
    <w:rsid w:val="00DF69F1"/>
    <w:rsid w:val="00E340E4"/>
    <w:rsid w:val="00E420C9"/>
    <w:rsid w:val="00E50D08"/>
    <w:rsid w:val="00E62598"/>
    <w:rsid w:val="00E80189"/>
    <w:rsid w:val="00E9137B"/>
    <w:rsid w:val="00E95C43"/>
    <w:rsid w:val="00EA590F"/>
    <w:rsid w:val="00EA7E66"/>
    <w:rsid w:val="00EC258B"/>
    <w:rsid w:val="00F14DBA"/>
    <w:rsid w:val="00F165BA"/>
    <w:rsid w:val="00F247BB"/>
    <w:rsid w:val="00F364F3"/>
    <w:rsid w:val="00F4007A"/>
    <w:rsid w:val="00F56D69"/>
    <w:rsid w:val="00F740E7"/>
    <w:rsid w:val="00F85730"/>
    <w:rsid w:val="00FC513E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03536B-896D-44FC-A4F1-C8A12BC2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0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4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7907"/>
    <w:pPr>
      <w:ind w:left="720"/>
      <w:contextualSpacing/>
    </w:pPr>
  </w:style>
  <w:style w:type="paragraph" w:customStyle="1" w:styleId="1">
    <w:name w:val="Обычный1"/>
    <w:rsid w:val="00A47907"/>
    <w:rPr>
      <w:rFonts w:ascii="Calibri" w:eastAsia="Calibri" w:hAnsi="Calibri" w:cs="Calibri"/>
      <w:sz w:val="22"/>
      <w:lang w:val="uk-UA" w:eastAsia="uk-UA"/>
    </w:rPr>
  </w:style>
  <w:style w:type="character" w:styleId="a4">
    <w:name w:val="Hyperlink"/>
    <w:semiHidden/>
    <w:rsid w:val="00A47907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Абзац списка1"/>
    <w:basedOn w:val="a"/>
    <w:rsid w:val="00A4790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84F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8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84F"/>
    <w:rPr>
      <w:rFonts w:asciiTheme="minorHAnsi" w:eastAsiaTheme="minorEastAsia" w:hAnsiTheme="minorHAnsi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2A5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EC258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25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0FB91-A462-4EFB-B4FC-55E9351C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malaniy-no</dc:creator>
  <cp:lastModifiedBy>org301</cp:lastModifiedBy>
  <cp:revision>13</cp:revision>
  <cp:lastPrinted>2024-03-07T12:24:00Z</cp:lastPrinted>
  <dcterms:created xsi:type="dcterms:W3CDTF">2024-03-07T10:15:00Z</dcterms:created>
  <dcterms:modified xsi:type="dcterms:W3CDTF">2024-03-20T10:10:00Z</dcterms:modified>
</cp:coreProperties>
</file>