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99" w:rsidRPr="00AD150A" w:rsidRDefault="005E2499" w:rsidP="00D37E83">
      <w:pPr>
        <w:spacing w:after="0" w:line="360" w:lineRule="auto"/>
        <w:ind w:left="5387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AD150A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5E2499" w:rsidRPr="00AD150A" w:rsidRDefault="005E2499" w:rsidP="00D37E83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AD150A">
        <w:rPr>
          <w:rFonts w:ascii="Times New Roman" w:hAnsi="Times New Roman"/>
          <w:i/>
          <w:sz w:val="28"/>
          <w:szCs w:val="28"/>
          <w:lang w:val="uk-UA"/>
        </w:rPr>
        <w:t>Рішення виконкому міської ради</w:t>
      </w:r>
    </w:p>
    <w:p w:rsidR="005E2499" w:rsidRPr="00AD150A" w:rsidRDefault="005E2499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="00BF3245" w:rsidRPr="00AD150A">
        <w:rPr>
          <w:rFonts w:ascii="Times New Roman" w:hAnsi="Times New Roman"/>
          <w:i/>
          <w:sz w:val="28"/>
          <w:szCs w:val="28"/>
          <w:lang w:val="uk-UA"/>
        </w:rPr>
        <w:t xml:space="preserve">                 19.02.2024 №220</w:t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5E2499" w:rsidRPr="00AD150A" w:rsidRDefault="005E2499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91F12" w:rsidRPr="00AD150A" w:rsidRDefault="00491F12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91F12" w:rsidRPr="00AD150A" w:rsidRDefault="00491F12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2499" w:rsidRPr="00AD150A" w:rsidRDefault="005E2499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2499" w:rsidRPr="00AD150A" w:rsidRDefault="005E2499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150A">
        <w:rPr>
          <w:rFonts w:ascii="Times New Roman" w:hAnsi="Times New Roman"/>
          <w:b/>
          <w:i/>
          <w:sz w:val="28"/>
          <w:szCs w:val="28"/>
          <w:lang w:val="uk-UA"/>
        </w:rPr>
        <w:t xml:space="preserve">Порядок </w:t>
      </w:r>
    </w:p>
    <w:p w:rsidR="005E2499" w:rsidRPr="00AD150A" w:rsidRDefault="005E2499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150A">
        <w:rPr>
          <w:rFonts w:ascii="Times New Roman" w:hAnsi="Times New Roman"/>
          <w:b/>
          <w:i/>
          <w:sz w:val="28"/>
          <w:szCs w:val="28"/>
          <w:lang w:val="uk-UA"/>
        </w:rPr>
        <w:t>проведення зубопротезування  пільгових категорій громадян</w:t>
      </w:r>
    </w:p>
    <w:p w:rsidR="005E2499" w:rsidRPr="00AD150A" w:rsidRDefault="005E2499" w:rsidP="002117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2499" w:rsidRPr="00AD150A" w:rsidRDefault="005E2499" w:rsidP="009C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150A">
        <w:rPr>
          <w:rFonts w:ascii="Times New Roman" w:hAnsi="Times New Roman"/>
          <w:sz w:val="28"/>
          <w:szCs w:val="28"/>
          <w:lang w:val="uk-UA"/>
        </w:rPr>
        <w:t>1. Порядок проведення зубопротезування пільгових категорій громадян (надалі – Порядок) розроблено відповідно до статті 34 Закону України «Про місцеве самоврядування в Україні»</w:t>
      </w:r>
      <w:r w:rsidR="0055242E" w:rsidRPr="00AD150A">
        <w:rPr>
          <w:rFonts w:ascii="Times New Roman" w:hAnsi="Times New Roman"/>
          <w:sz w:val="28"/>
          <w:szCs w:val="28"/>
          <w:lang w:val="uk-UA"/>
        </w:rPr>
        <w:t xml:space="preserve"> на виконання заходів міжгалузевої комплексної програми «Здоров’я нації» у м. Кривому Розі на 2017–2026 роки, затвердженої рішенням міської ради від </w:t>
      </w:r>
      <w:r w:rsidR="00FF00BC" w:rsidRPr="00AD150A">
        <w:rPr>
          <w:rFonts w:ascii="Times New Roman" w:hAnsi="Times New Roman"/>
          <w:sz w:val="28"/>
          <w:szCs w:val="28"/>
          <w:lang w:val="uk-UA"/>
        </w:rPr>
        <w:t>21.12.2016 №1185, зі змінами, і</w:t>
      </w:r>
      <w:r w:rsidR="0055242E" w:rsidRPr="00AD150A">
        <w:rPr>
          <w:rFonts w:ascii="Times New Roman" w:hAnsi="Times New Roman"/>
          <w:sz w:val="28"/>
          <w:szCs w:val="28"/>
          <w:lang w:val="uk-UA"/>
        </w:rPr>
        <w:t xml:space="preserve"> Програми соціальної підтримки населення у 2017–2026 роках, затвердженої рішенням міської ради від 21.12.2016 №1182, зі змінами</w:t>
      </w:r>
      <w:r w:rsidR="00FF00BC" w:rsidRPr="00AD150A">
        <w:rPr>
          <w:rFonts w:ascii="Times New Roman" w:hAnsi="Times New Roman"/>
          <w:sz w:val="28"/>
          <w:szCs w:val="28"/>
          <w:lang w:val="uk-UA"/>
        </w:rPr>
        <w:t>,</w:t>
      </w:r>
      <w:r w:rsidRPr="00AD15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42E" w:rsidRPr="00AD150A">
        <w:rPr>
          <w:rFonts w:ascii="Times New Roman" w:hAnsi="Times New Roman"/>
          <w:sz w:val="28"/>
          <w:szCs w:val="28"/>
          <w:lang w:val="uk-UA"/>
        </w:rPr>
        <w:t>та</w:t>
      </w:r>
      <w:r w:rsidRPr="00AD150A">
        <w:rPr>
          <w:rFonts w:ascii="Times New Roman" w:hAnsi="Times New Roman"/>
          <w:sz w:val="28"/>
          <w:szCs w:val="28"/>
          <w:lang w:val="uk-UA"/>
        </w:rPr>
        <w:t xml:space="preserve"> визначає механізм використання коштів, передбачених у бюджеті Криворізької міської територіальної громади на підготовку та зубопротезування пільгових категорій громадян, зареєстрова</w:t>
      </w:r>
      <w:r w:rsidR="007F2461" w:rsidRPr="00AD150A">
        <w:rPr>
          <w:rFonts w:ascii="Times New Roman" w:hAnsi="Times New Roman"/>
          <w:sz w:val="28"/>
          <w:szCs w:val="28"/>
          <w:lang w:val="uk-UA"/>
        </w:rPr>
        <w:t>них на території Криворізької міської територіальної громади</w:t>
      </w:r>
      <w:r w:rsidRPr="00AD150A">
        <w:rPr>
          <w:rFonts w:ascii="Times New Roman" w:hAnsi="Times New Roman"/>
          <w:sz w:val="28"/>
          <w:szCs w:val="28"/>
          <w:lang w:val="uk-UA"/>
        </w:rPr>
        <w:t>.</w:t>
      </w:r>
    </w:p>
    <w:p w:rsidR="00FA702F" w:rsidRPr="00AD150A" w:rsidRDefault="00385186" w:rsidP="00FA7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702F" w:rsidRPr="00AD150A">
        <w:rPr>
          <w:rFonts w:ascii="Times New Roman" w:hAnsi="Times New Roman"/>
          <w:sz w:val="28"/>
          <w:szCs w:val="28"/>
          <w:lang w:val="uk-UA" w:eastAsia="ru-RU"/>
        </w:rPr>
        <w:t xml:space="preserve">. Комунальне некомерційне підприємство «Територіальне медичне об'єднання «Криворізька клінічна стоматологія» Криворізької міської ради (надалі – КНП «ТМО «Криворізька клінічна стоматологія» КМР) визначає право на безоплатне зубопротезування та забезпечує постановку на облік осіб </w:t>
      </w:r>
      <w:r w:rsidR="00873B01" w:rsidRPr="00AD150A">
        <w:rPr>
          <w:rFonts w:ascii="Times New Roman" w:hAnsi="Times New Roman"/>
          <w:sz w:val="28"/>
          <w:szCs w:val="28"/>
          <w:lang w:val="uk-UA" w:eastAsia="ru-RU"/>
        </w:rPr>
        <w:t>за направлення</w:t>
      </w:r>
      <w:r w:rsidR="006220C3" w:rsidRPr="00AD150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73B01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адміністратора Центру адміністративних послуг «ВІЗА» («ЦЕНТР ДІЇ») виконкому Криворізької міської ради або під час особист</w:t>
      </w:r>
      <w:r w:rsidR="006220C3" w:rsidRPr="00AD150A">
        <w:rPr>
          <w:rFonts w:ascii="Times New Roman" w:hAnsi="Times New Roman"/>
          <w:sz w:val="28"/>
          <w:szCs w:val="28"/>
          <w:lang w:val="uk-UA" w:eastAsia="ru-RU"/>
        </w:rPr>
        <w:t>ого звернення громадян пільгових категорій</w:t>
      </w:r>
      <w:r w:rsidR="00873B01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73B01" w:rsidRPr="00AD150A" w:rsidRDefault="00FD14BF" w:rsidP="00FA7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73B01" w:rsidRPr="00AD150A">
        <w:rPr>
          <w:rFonts w:ascii="Times New Roman" w:hAnsi="Times New Roman"/>
          <w:sz w:val="28"/>
          <w:szCs w:val="28"/>
          <w:lang w:val="uk-UA" w:eastAsia="ru-RU"/>
        </w:rPr>
        <w:t>. КНП «ТМО «Криворізька клінічна стоматологія» КМР самостійно веде облік пільгових категорій громадян та забезпечує їх доступ до електронної черги.</w:t>
      </w:r>
    </w:p>
    <w:p w:rsidR="00B24AC0" w:rsidRPr="00AD150A" w:rsidRDefault="00B24AC0" w:rsidP="00B24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4. Право на пільгову допомогу мають: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360"/>
        <w:gridCol w:w="3260"/>
        <w:gridCol w:w="2551"/>
      </w:tblGrid>
      <w:tr w:rsidR="00B24AC0" w:rsidRPr="00AD150A" w:rsidTr="00CE7938">
        <w:tc>
          <w:tcPr>
            <w:tcW w:w="576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360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Style w:val="aa"/>
                <w:lang w:val="uk-UA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Категорії громадян</w:t>
            </w:r>
          </w:p>
        </w:tc>
        <w:tc>
          <w:tcPr>
            <w:tcW w:w="3260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Підстава</w:t>
            </w:r>
          </w:p>
        </w:tc>
        <w:tc>
          <w:tcPr>
            <w:tcW w:w="2551" w:type="dxa"/>
          </w:tcPr>
          <w:p w:rsidR="00B24AC0" w:rsidRPr="00AD150A" w:rsidRDefault="00B24AC0" w:rsidP="00CE7938">
            <w:pPr>
              <w:spacing w:after="0" w:line="240" w:lineRule="auto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Черговість за умови реєстрації в електронній черзі</w:t>
            </w:r>
          </w:p>
        </w:tc>
      </w:tr>
      <w:tr w:rsidR="0051089A" w:rsidRPr="00AD150A" w:rsidTr="00CE7938">
        <w:tc>
          <w:tcPr>
            <w:tcW w:w="576" w:type="dxa"/>
          </w:tcPr>
          <w:p w:rsidR="0051089A" w:rsidRPr="00AD150A" w:rsidRDefault="0051089A" w:rsidP="00CE79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60" w:type="dxa"/>
          </w:tcPr>
          <w:p w:rsidR="0051089A" w:rsidRPr="00AD150A" w:rsidRDefault="0051089A" w:rsidP="00CE79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0" w:type="dxa"/>
          </w:tcPr>
          <w:p w:rsidR="0051089A" w:rsidRPr="00AD150A" w:rsidRDefault="0051089A" w:rsidP="00CE79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1089A" w:rsidRPr="00AD150A" w:rsidRDefault="0051089A" w:rsidP="005108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B24AC0" w:rsidRPr="00AD150A" w:rsidTr="00CE7938">
        <w:tc>
          <w:tcPr>
            <w:tcW w:w="576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360" w:type="dxa"/>
          </w:tcPr>
          <w:p w:rsidR="00B24AC0" w:rsidRPr="00AD150A" w:rsidRDefault="00B24AC0" w:rsidP="00CE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Особи з інвалідністю внаслідок війни та прирівняні до них особи</w:t>
            </w:r>
          </w:p>
        </w:tc>
        <w:tc>
          <w:tcPr>
            <w:tcW w:w="3260" w:type="dxa"/>
          </w:tcPr>
          <w:p w:rsidR="00B24AC0" w:rsidRPr="00AD150A" w:rsidRDefault="00634A00" w:rsidP="00CE79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8" w:tgtFrame="_blank" w:history="1">
              <w:r w:rsidR="00B24AC0" w:rsidRPr="00AD150A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Закон України</w:t>
              </w:r>
            </w:hyperlink>
            <w:r w:rsidR="004B73FB"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«Про статус ве</w:t>
            </w:r>
            <w:r w:rsidR="00B24AC0"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теранів війни, гарантії їх соціального захисту»</w:t>
            </w:r>
            <w:r w:rsidR="00B24AC0" w:rsidRPr="00AD1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24AC0"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(ст. 13) </w:t>
            </w:r>
          </w:p>
        </w:tc>
        <w:tc>
          <w:tcPr>
            <w:tcW w:w="2551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Позачергово</w:t>
            </w:r>
          </w:p>
        </w:tc>
      </w:tr>
      <w:tr w:rsidR="00B24AC0" w:rsidRPr="00AD150A" w:rsidTr="00CE7938">
        <w:tc>
          <w:tcPr>
            <w:tcW w:w="576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3360" w:type="dxa"/>
          </w:tcPr>
          <w:p w:rsidR="00B24AC0" w:rsidRPr="00AD150A" w:rsidRDefault="00B24AC0" w:rsidP="00CE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Учасники бойових дій</w:t>
            </w:r>
          </w:p>
        </w:tc>
        <w:tc>
          <w:tcPr>
            <w:tcW w:w="3260" w:type="dxa"/>
          </w:tcPr>
          <w:p w:rsidR="00B24AC0" w:rsidRPr="00AD150A" w:rsidRDefault="00634A00" w:rsidP="00CE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9" w:tgtFrame="_blank" w:history="1">
              <w:r w:rsidR="00B24AC0" w:rsidRPr="00AD150A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Закон України</w:t>
              </w:r>
            </w:hyperlink>
            <w:r w:rsidR="00B24AC0"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«Про статус ветеранів війни, гарантії їх соціального захисту» (ст.12)</w:t>
            </w:r>
          </w:p>
        </w:tc>
        <w:tc>
          <w:tcPr>
            <w:tcW w:w="2551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Першочергово</w:t>
            </w:r>
          </w:p>
        </w:tc>
      </w:tr>
      <w:tr w:rsidR="00B24AC0" w:rsidRPr="00AD150A" w:rsidTr="00CE7938">
        <w:tc>
          <w:tcPr>
            <w:tcW w:w="576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3360" w:type="dxa"/>
          </w:tcPr>
          <w:p w:rsidR="00B24AC0" w:rsidRPr="00AD150A" w:rsidRDefault="00B24AC0" w:rsidP="00CE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Члени сімей загиблих (померлих) ветеранів війни, за-</w:t>
            </w:r>
            <w:proofErr w:type="spellStart"/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хисників</w:t>
            </w:r>
            <w:proofErr w:type="spellEnd"/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захисниць України</w:t>
            </w:r>
          </w:p>
        </w:tc>
        <w:tc>
          <w:tcPr>
            <w:tcW w:w="3260" w:type="dxa"/>
          </w:tcPr>
          <w:p w:rsidR="00B24AC0" w:rsidRPr="00AD150A" w:rsidRDefault="00634A00" w:rsidP="00CE7938">
            <w:pPr>
              <w:spacing w:after="0" w:line="240" w:lineRule="auto"/>
              <w:rPr>
                <w:lang w:val="uk-UA"/>
              </w:rPr>
            </w:pPr>
            <w:hyperlink r:id="rId10" w:tgtFrame="_blank" w:history="1">
              <w:r w:rsidR="00B24AC0" w:rsidRPr="00AD150A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Закон України</w:t>
              </w:r>
            </w:hyperlink>
            <w:r w:rsidR="00B24AC0"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«Про статус ветеранів війни, гарантії їх соціального захисту» (ст.15)</w:t>
            </w:r>
          </w:p>
        </w:tc>
        <w:tc>
          <w:tcPr>
            <w:tcW w:w="2551" w:type="dxa"/>
          </w:tcPr>
          <w:p w:rsidR="00B24AC0" w:rsidRPr="00AD150A" w:rsidRDefault="00B24AC0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Першочергово</w:t>
            </w:r>
          </w:p>
        </w:tc>
      </w:tr>
    </w:tbl>
    <w:p w:rsidR="00491F12" w:rsidRPr="00AD150A" w:rsidRDefault="00491F12">
      <w:pPr>
        <w:rPr>
          <w:lang w:val="uk-UA"/>
        </w:rPr>
      </w:pPr>
      <w:r w:rsidRPr="00AD150A">
        <w:rPr>
          <w:lang w:val="uk-UA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360"/>
        <w:gridCol w:w="3260"/>
        <w:gridCol w:w="2551"/>
      </w:tblGrid>
      <w:tr w:rsidR="0016780A" w:rsidRPr="00AD150A" w:rsidTr="00CE7938">
        <w:tc>
          <w:tcPr>
            <w:tcW w:w="576" w:type="dxa"/>
          </w:tcPr>
          <w:p w:rsidR="0016780A" w:rsidRPr="00AD150A" w:rsidRDefault="0016780A" w:rsidP="006B27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360" w:type="dxa"/>
          </w:tcPr>
          <w:p w:rsidR="0016780A" w:rsidRPr="00AD150A" w:rsidRDefault="0016780A" w:rsidP="006B27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0" w:type="dxa"/>
          </w:tcPr>
          <w:p w:rsidR="0016780A" w:rsidRPr="00AD150A" w:rsidRDefault="0016780A" w:rsidP="006B27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6780A" w:rsidRPr="00AD150A" w:rsidRDefault="0016780A" w:rsidP="006B27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16780A" w:rsidRPr="00AD150A" w:rsidTr="00CE7938">
        <w:tc>
          <w:tcPr>
            <w:tcW w:w="576" w:type="dxa"/>
          </w:tcPr>
          <w:p w:rsidR="0016780A" w:rsidRPr="00AD150A" w:rsidRDefault="0016780A" w:rsidP="0084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4.4</w:t>
            </w:r>
          </w:p>
        </w:tc>
        <w:tc>
          <w:tcPr>
            <w:tcW w:w="3360" w:type="dxa"/>
          </w:tcPr>
          <w:p w:rsidR="0016780A" w:rsidRPr="00AD150A" w:rsidRDefault="0016780A" w:rsidP="0084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Особи з інвалідністю загального захворю</w:t>
            </w: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вання І та ІІ груп (відповідно до індивідуаль</w:t>
            </w: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них програм реабіліта</w:t>
            </w: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ції)</w:t>
            </w:r>
          </w:p>
        </w:tc>
        <w:tc>
          <w:tcPr>
            <w:tcW w:w="3260" w:type="dxa"/>
          </w:tcPr>
          <w:p w:rsidR="0016780A" w:rsidRPr="00AD150A" w:rsidRDefault="0016780A" w:rsidP="00844C5F">
            <w:pPr>
              <w:spacing w:after="0" w:line="240" w:lineRule="auto"/>
              <w:rPr>
                <w:lang w:val="uk-UA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основи соціальної захищеності осіб з інвалідністю в Україні»  (</w:t>
            </w:r>
            <w:proofErr w:type="spellStart"/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стст</w:t>
            </w:r>
            <w:proofErr w:type="spellEnd"/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37, 38)</w:t>
            </w:r>
          </w:p>
        </w:tc>
        <w:tc>
          <w:tcPr>
            <w:tcW w:w="2551" w:type="dxa"/>
          </w:tcPr>
          <w:p w:rsidR="0016780A" w:rsidRPr="00AD150A" w:rsidRDefault="0016780A" w:rsidP="0084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Першочергово</w:t>
            </w:r>
          </w:p>
        </w:tc>
      </w:tr>
      <w:tr w:rsidR="0016780A" w:rsidRPr="00AD150A" w:rsidTr="00CE7938">
        <w:tc>
          <w:tcPr>
            <w:tcW w:w="576" w:type="dxa"/>
          </w:tcPr>
          <w:p w:rsidR="0016780A" w:rsidRPr="00AD150A" w:rsidRDefault="0016780A" w:rsidP="00CE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3360" w:type="dxa"/>
          </w:tcPr>
          <w:p w:rsidR="0016780A" w:rsidRPr="00AD150A" w:rsidRDefault="0016780A" w:rsidP="00CE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Пенсіонери за віком, ветерани праці</w:t>
            </w:r>
          </w:p>
        </w:tc>
        <w:tc>
          <w:tcPr>
            <w:tcW w:w="3260" w:type="dxa"/>
          </w:tcPr>
          <w:p w:rsidR="0016780A" w:rsidRPr="00AD150A" w:rsidRDefault="0016780A" w:rsidP="00CE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основні засади соціального захисту ветеранів праці та інших громадян похилого віку в Україні» (</w:t>
            </w:r>
            <w:proofErr w:type="spellStart"/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стст</w:t>
            </w:r>
            <w:proofErr w:type="spellEnd"/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7, 34)</w:t>
            </w:r>
          </w:p>
        </w:tc>
        <w:tc>
          <w:tcPr>
            <w:tcW w:w="2551" w:type="dxa"/>
          </w:tcPr>
          <w:p w:rsidR="0016780A" w:rsidRPr="00AD150A" w:rsidRDefault="0016780A" w:rsidP="00B2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електронною </w:t>
            </w:r>
          </w:p>
          <w:p w:rsidR="0016780A" w:rsidRPr="00AD150A" w:rsidRDefault="0016780A" w:rsidP="00B2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15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чергою</w:t>
            </w:r>
          </w:p>
        </w:tc>
      </w:tr>
    </w:tbl>
    <w:p w:rsidR="0016780A" w:rsidRPr="00AD150A" w:rsidRDefault="0016780A" w:rsidP="00B24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24AC0" w:rsidRPr="00AD150A" w:rsidRDefault="00B24AC0" w:rsidP="00B24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5. Також, позачергове протезування зубів (за винятком протезування з використанням дорогоцінних металів кераміки, </w:t>
      </w:r>
      <w:proofErr w:type="spellStart"/>
      <w:r w:rsidRPr="00AD150A">
        <w:rPr>
          <w:rFonts w:ascii="Times New Roman" w:hAnsi="Times New Roman"/>
          <w:sz w:val="28"/>
          <w:szCs w:val="28"/>
          <w:lang w:val="uk-UA" w:eastAsia="ru-RU"/>
        </w:rPr>
        <w:t>цільнолитих</w:t>
      </w:r>
      <w:proofErr w:type="spellEnd"/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, металопластмаси, </w:t>
      </w:r>
      <w:proofErr w:type="spellStart"/>
      <w:r w:rsidRPr="00AD150A">
        <w:rPr>
          <w:rFonts w:ascii="Times New Roman" w:hAnsi="Times New Roman"/>
          <w:sz w:val="28"/>
          <w:szCs w:val="28"/>
          <w:lang w:val="uk-UA" w:eastAsia="ru-RU"/>
        </w:rPr>
        <w:t>нітріттітанового</w:t>
      </w:r>
      <w:proofErr w:type="spellEnd"/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покриття, </w:t>
      </w:r>
      <w:proofErr w:type="spellStart"/>
      <w:r w:rsidRPr="00AD150A">
        <w:rPr>
          <w:rFonts w:ascii="Times New Roman" w:hAnsi="Times New Roman"/>
          <w:sz w:val="28"/>
          <w:szCs w:val="28"/>
          <w:lang w:val="uk-UA" w:eastAsia="ru-RU"/>
        </w:rPr>
        <w:t>імплантантів</w:t>
      </w:r>
      <w:proofErr w:type="spellEnd"/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AD150A">
        <w:rPr>
          <w:rFonts w:ascii="Times New Roman" w:hAnsi="Times New Roman"/>
          <w:sz w:val="28"/>
          <w:szCs w:val="28"/>
          <w:lang w:val="uk-UA" w:eastAsia="ru-RU"/>
        </w:rPr>
        <w:t>бюгельного</w:t>
      </w:r>
      <w:proofErr w:type="spellEnd"/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протезування) виконується громадянам, які зареєстровані на території Криворізької міської територіальної  громади та є учасниками бойових дій, які брали безпосередньо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6. З метою зарахування на облік для проведення зубопротезування потрібно надати такі документи: 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6.1 заява про взяття на облік на пільгове зубопротезування довільної форми;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6.2 згода на обробку персональних даних;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6.3 копія посвідчення представника певної пільгової категорії;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6.4 копія паспорта (сторінки 1, 2 та сторінки з відміткою про реєстрацію місця проживання) або копія ID-паспорта громадянина України та копія витягу з Єдиного державного демографічного реєстру, що підтверджує проживання заявника на території Криворізької міської територіальної громади;</w:t>
      </w:r>
    </w:p>
    <w:p w:rsidR="005A7873" w:rsidRPr="00AD150A" w:rsidRDefault="005A7873" w:rsidP="00B64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6.5 </w:t>
      </w:r>
      <w:r w:rsidR="00B649AC" w:rsidRPr="00AD150A">
        <w:rPr>
          <w:rFonts w:ascii="Times New Roman" w:hAnsi="Times New Roman"/>
          <w:sz w:val="28"/>
          <w:szCs w:val="28"/>
          <w:lang w:val="uk-UA" w:eastAsia="ru-RU"/>
        </w:rPr>
        <w:t xml:space="preserve">свідоцтво про народження, свідоцтво </w:t>
      </w:r>
      <w:r w:rsidR="00070A1D" w:rsidRPr="00AD150A">
        <w:rPr>
          <w:rFonts w:ascii="Times New Roman" w:hAnsi="Times New Roman"/>
          <w:sz w:val="28"/>
          <w:szCs w:val="28"/>
          <w:lang w:val="uk-UA" w:eastAsia="ru-RU"/>
        </w:rPr>
        <w:t xml:space="preserve">про шлюб або інший документ, що містить </w:t>
      </w:r>
      <w:r w:rsidR="00B649AC" w:rsidRPr="00AD150A">
        <w:rPr>
          <w:rFonts w:ascii="Times New Roman" w:hAnsi="Times New Roman"/>
          <w:sz w:val="28"/>
          <w:szCs w:val="28"/>
          <w:lang w:val="uk-UA" w:eastAsia="ru-RU"/>
        </w:rPr>
        <w:t xml:space="preserve">відомості про родинні </w:t>
      </w:r>
      <w:r w:rsidR="00070A1D" w:rsidRPr="00AD150A">
        <w:rPr>
          <w:rFonts w:ascii="Times New Roman" w:hAnsi="Times New Roman"/>
          <w:sz w:val="28"/>
          <w:szCs w:val="28"/>
          <w:lang w:val="uk-UA" w:eastAsia="ru-RU"/>
        </w:rPr>
        <w:t>стосунки із</w:t>
      </w:r>
      <w:r w:rsidR="00B649AC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0A1D" w:rsidRPr="00AD150A">
        <w:rPr>
          <w:rFonts w:ascii="Times New Roman" w:hAnsi="Times New Roman"/>
          <w:sz w:val="28"/>
          <w:szCs w:val="28"/>
          <w:lang w:val="uk-UA" w:eastAsia="ru-RU"/>
        </w:rPr>
        <w:t>загиблими (померлими</w:t>
      </w:r>
      <w:r w:rsidRPr="00AD150A">
        <w:rPr>
          <w:rFonts w:ascii="Times New Roman" w:hAnsi="Times New Roman"/>
          <w:sz w:val="28"/>
          <w:szCs w:val="28"/>
          <w:lang w:val="uk-UA" w:eastAsia="ru-RU"/>
        </w:rPr>
        <w:t>) ветера</w:t>
      </w:r>
      <w:r w:rsidR="00070A1D" w:rsidRPr="00AD150A">
        <w:rPr>
          <w:rFonts w:ascii="Times New Roman" w:hAnsi="Times New Roman"/>
          <w:sz w:val="28"/>
          <w:szCs w:val="28"/>
          <w:lang w:val="uk-UA" w:eastAsia="ru-RU"/>
        </w:rPr>
        <w:t>нами</w:t>
      </w: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 війни, захи</w:t>
      </w:r>
      <w:r w:rsidR="00070A1D" w:rsidRPr="00AD150A">
        <w:rPr>
          <w:rFonts w:ascii="Times New Roman" w:hAnsi="Times New Roman"/>
          <w:sz w:val="28"/>
          <w:szCs w:val="28"/>
          <w:lang w:val="uk-UA" w:eastAsia="ru-RU"/>
        </w:rPr>
        <w:t>сниками і захисницями</w:t>
      </w: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 України;</w:t>
      </w:r>
    </w:p>
    <w:p w:rsidR="005A7873" w:rsidRPr="00AD150A" w:rsidRDefault="00D45E79" w:rsidP="005A78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6</w:t>
      </w:r>
      <w:r w:rsidR="005A7873" w:rsidRPr="00AD150A">
        <w:rPr>
          <w:rFonts w:ascii="Times New Roman" w:hAnsi="Times New Roman"/>
          <w:sz w:val="28"/>
          <w:szCs w:val="28"/>
          <w:lang w:val="uk-UA" w:eastAsia="ru-RU"/>
        </w:rPr>
        <w:t>.6</w:t>
      </w: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 за необхідності, довідка Пенсійного фонду України щодо надання пільг окремим категоріям громадян з урахуванням середньомісячного сукупного до</w:t>
      </w:r>
      <w:r w:rsidR="005A7873" w:rsidRPr="00AD150A">
        <w:rPr>
          <w:rFonts w:ascii="Times New Roman" w:hAnsi="Times New Roman"/>
          <w:sz w:val="28"/>
          <w:szCs w:val="28"/>
          <w:lang w:val="uk-UA" w:eastAsia="ru-RU"/>
        </w:rPr>
        <w:t>ходу сім'ї.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7. Підставами для відмови в зарахуванні до черги та зубопротезування є: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7.1 відсутність повного пакета документів, визначених у Порядку;</w:t>
      </w:r>
    </w:p>
    <w:p w:rsidR="00D45E79" w:rsidRPr="00AD150A" w:rsidRDefault="00D45E79" w:rsidP="00D45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7.2 виявлення недостовірних даних в поданих документах.</w:t>
      </w:r>
    </w:p>
    <w:p w:rsidR="006F5601" w:rsidRPr="00AD150A" w:rsidRDefault="00D45E79" w:rsidP="006F5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8. </w:t>
      </w:r>
      <w:r w:rsidR="006F5601" w:rsidRPr="00AD150A">
        <w:rPr>
          <w:rFonts w:ascii="Times New Roman" w:hAnsi="Times New Roman"/>
          <w:sz w:val="28"/>
          <w:szCs w:val="28"/>
          <w:lang w:val="uk-UA" w:eastAsia="ru-RU"/>
        </w:rPr>
        <w:t>Підставами для зняття з обліку пільг</w:t>
      </w:r>
      <w:r w:rsidR="005A7873" w:rsidRPr="00AD150A">
        <w:rPr>
          <w:rFonts w:ascii="Times New Roman" w:hAnsi="Times New Roman"/>
          <w:sz w:val="28"/>
          <w:szCs w:val="28"/>
          <w:lang w:val="uk-UA" w:eastAsia="ru-RU"/>
        </w:rPr>
        <w:t>ових категорій громадян, які ма</w:t>
      </w:r>
      <w:r w:rsidR="006F5601" w:rsidRPr="00AD150A">
        <w:rPr>
          <w:rFonts w:ascii="Times New Roman" w:hAnsi="Times New Roman"/>
          <w:sz w:val="28"/>
          <w:szCs w:val="28"/>
          <w:lang w:val="uk-UA" w:eastAsia="ru-RU"/>
        </w:rPr>
        <w:t>ють право на зубопротезування, є:</w:t>
      </w:r>
    </w:p>
    <w:p w:rsidR="006F5601" w:rsidRPr="00AD150A" w:rsidRDefault="006F5601" w:rsidP="006F5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8.1 надання послуг в повному обсязі;</w:t>
      </w:r>
    </w:p>
    <w:p w:rsidR="006F5601" w:rsidRPr="00AD150A" w:rsidRDefault="006F5601" w:rsidP="006F5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8.2 закінчення строку дії документів, </w:t>
      </w:r>
      <w:r w:rsidR="005A7873" w:rsidRPr="00AD150A">
        <w:rPr>
          <w:rFonts w:ascii="Times New Roman" w:hAnsi="Times New Roman"/>
          <w:sz w:val="28"/>
          <w:szCs w:val="28"/>
          <w:lang w:val="uk-UA" w:eastAsia="ru-RU"/>
        </w:rPr>
        <w:t>які дають право для певної кате</w:t>
      </w:r>
      <w:r w:rsidRPr="00AD150A">
        <w:rPr>
          <w:rFonts w:ascii="Times New Roman" w:hAnsi="Times New Roman"/>
          <w:sz w:val="28"/>
          <w:szCs w:val="28"/>
          <w:lang w:val="uk-UA" w:eastAsia="ru-RU"/>
        </w:rPr>
        <w:t>горії на постановку на облік;</w:t>
      </w:r>
    </w:p>
    <w:p w:rsidR="006F5601" w:rsidRPr="00AD150A" w:rsidRDefault="006F5601" w:rsidP="006F5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8.3 заява громадянина про відмову в наданні послуг;</w:t>
      </w:r>
    </w:p>
    <w:p w:rsidR="006F5601" w:rsidRPr="00AD150A" w:rsidRDefault="006F5601" w:rsidP="006F5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8.4 неявка громадянина за запрошенням без поважних причин;</w:t>
      </w:r>
    </w:p>
    <w:p w:rsidR="006F5601" w:rsidRPr="00AD150A" w:rsidRDefault="006F5601" w:rsidP="006F5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lastRenderedPageBreak/>
        <w:t>8.5 некоректні контактні дані, надані громадянами, за якими неможливо передати їм запрошення;</w:t>
      </w:r>
    </w:p>
    <w:p w:rsidR="00B24AC0" w:rsidRPr="00AD150A" w:rsidRDefault="006F5601" w:rsidP="006F560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8.6 смерть заявника.</w:t>
      </w:r>
    </w:p>
    <w:p w:rsidR="00B608EF" w:rsidRPr="00AD150A" w:rsidRDefault="00B608EF" w:rsidP="00B608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9. Зубопротезування пільгових категорій громадян, які звернулися до                 КНП «ТМО «Криворізька клінічна стоматологія» КМР, включає 3 етапи: підготовка, виготовлення та встановлення зубних протезів.</w:t>
      </w:r>
    </w:p>
    <w:p w:rsidR="00B608EF" w:rsidRPr="00AD150A" w:rsidRDefault="00B608EF" w:rsidP="00B608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10. Хірургічне та терапевтичне лікування для підготовки до послуг з безкоштовного зубопротезування громадян здійснюється КНП «ТМО «Криворізька клінічна стоматологія» КМР за рахунок коштів бюджету Криворізької міської територіальної громади, затверджених на виконання заходів міжгалузевої комплексної програми «Здоров’я нації» у м. Кривому Розі на 2017–2026 роки</w:t>
      </w:r>
      <w:r w:rsidR="006B1F06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55530" w:rsidRPr="00AD150A" w:rsidRDefault="00256DB5" w:rsidP="00256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 xml:space="preserve">11. </w:t>
      </w:r>
      <w:proofErr w:type="spellStart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Зубпротезування</w:t>
      </w:r>
      <w:proofErr w:type="spellEnd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безкоштовно (за винятком протезування з використанням дорогоцінних металів та прирівняних  до них матеріалів, кераміки, металокераміки, металопластмаси, </w:t>
      </w:r>
      <w:proofErr w:type="spellStart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нітріттітанового</w:t>
      </w:r>
      <w:proofErr w:type="spellEnd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покриття, </w:t>
      </w:r>
      <w:proofErr w:type="spellStart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імплантантів</w:t>
      </w:r>
      <w:proofErr w:type="spellEnd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бюгельного</w:t>
      </w:r>
      <w:proofErr w:type="spellEnd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протезування).</w:t>
      </w:r>
    </w:p>
    <w:p w:rsidR="00855530" w:rsidRPr="00AD150A" w:rsidRDefault="00256DB5" w:rsidP="00CE7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12</w:t>
      </w:r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  <w:r w:rsidR="00855530" w:rsidRPr="00AD150A">
        <w:rPr>
          <w:lang w:val="uk-UA"/>
        </w:rPr>
        <w:t xml:space="preserve"> </w:t>
      </w:r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зубних протезів з використанням дорогоцінних металів та прирівняних до них матеріалів, кераміки, металокераміки, металопластмаси, </w:t>
      </w:r>
      <w:proofErr w:type="spellStart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нітріттітанового</w:t>
      </w:r>
      <w:proofErr w:type="spellEnd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покриття, імплантатів, </w:t>
      </w:r>
      <w:proofErr w:type="spellStart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бюгельного</w:t>
      </w:r>
      <w:proofErr w:type="spellEnd"/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протезування може здійснюватися за бажанням пацієнта за власні кошти.</w:t>
      </w:r>
    </w:p>
    <w:p w:rsidR="00EB1BE7" w:rsidRPr="00AD150A" w:rsidRDefault="00256DB5" w:rsidP="00EB1BE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855530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  <w:r w:rsidR="00EB1BE7" w:rsidRPr="00AD150A">
        <w:rPr>
          <w:rFonts w:ascii="Times New Roman" w:hAnsi="Times New Roman"/>
          <w:sz w:val="28"/>
          <w:szCs w:val="28"/>
          <w:lang w:val="uk-UA"/>
        </w:rPr>
        <w:t xml:space="preserve"> У разі проведення заявником самостійного зубопротезування, відшкоду</w:t>
      </w:r>
      <w:r w:rsidR="00EB1BE7" w:rsidRPr="00AD150A">
        <w:rPr>
          <w:rFonts w:ascii="Times New Roman" w:hAnsi="Times New Roman"/>
          <w:sz w:val="28"/>
          <w:szCs w:val="28"/>
          <w:lang w:val="uk-UA"/>
        </w:rPr>
        <w:softHyphen/>
        <w:t>вання коштів з бюджету Криворізької міської територіальної громади не проводиться.</w:t>
      </w:r>
    </w:p>
    <w:p w:rsidR="00855530" w:rsidRPr="00AD150A" w:rsidRDefault="00256DB5" w:rsidP="00CE7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14</w:t>
      </w:r>
      <w:r w:rsidR="00EB1BE7" w:rsidRPr="00AD150A">
        <w:rPr>
          <w:rFonts w:ascii="Times New Roman" w:hAnsi="Times New Roman"/>
          <w:sz w:val="28"/>
          <w:szCs w:val="28"/>
          <w:lang w:val="uk-UA" w:eastAsia="ru-RU"/>
        </w:rPr>
        <w:t>. Протезування заявника проводиться згідно з чергою відповідно до дати постановки на облік, але не частіше одного разу на 5 років.</w:t>
      </w:r>
    </w:p>
    <w:p w:rsidR="00B0008A" w:rsidRPr="00AD150A" w:rsidRDefault="00256DB5" w:rsidP="00B00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15</w:t>
      </w:r>
      <w:r w:rsidR="00B0008A" w:rsidRPr="00AD150A">
        <w:rPr>
          <w:rFonts w:ascii="Times New Roman" w:hAnsi="Times New Roman"/>
          <w:sz w:val="28"/>
          <w:szCs w:val="28"/>
          <w:lang w:val="uk-UA" w:eastAsia="ru-RU"/>
        </w:rPr>
        <w:t>. Головним розпорядником бюджетних коштів є управління охорони здоров’я виконкому Криворізької міської ради. Виконавцем робіт, зазначених у Порядку, визначається КНП «ТМО «Криворізька клінічна стоматологія» КМР.</w:t>
      </w:r>
    </w:p>
    <w:p w:rsidR="00106CC0" w:rsidRPr="00AD150A" w:rsidRDefault="00256DB5" w:rsidP="00B00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16</w:t>
      </w:r>
      <w:r w:rsidR="00106CC0" w:rsidRPr="00AD150A">
        <w:rPr>
          <w:rFonts w:ascii="Times New Roman" w:hAnsi="Times New Roman"/>
          <w:sz w:val="28"/>
          <w:szCs w:val="28"/>
          <w:lang w:val="uk-UA" w:eastAsia="ru-RU"/>
        </w:rPr>
        <w:t xml:space="preserve">. Видатки на безоплатне зубопротезування пільгової категорії громадян здійснюється за рахунок коштів бюджету Криворізької міської територіальної громади, передбачених </w:t>
      </w:r>
      <w:r w:rsidR="008C296E" w:rsidRPr="00AD150A">
        <w:rPr>
          <w:rFonts w:ascii="Times New Roman" w:hAnsi="Times New Roman"/>
          <w:sz w:val="28"/>
          <w:szCs w:val="28"/>
          <w:lang w:val="uk-UA" w:eastAsia="ru-RU"/>
        </w:rPr>
        <w:t>на відповідний рік з у</w:t>
      </w:r>
      <w:r w:rsidR="00106CC0" w:rsidRPr="00AD150A">
        <w:rPr>
          <w:rFonts w:ascii="Times New Roman" w:hAnsi="Times New Roman"/>
          <w:sz w:val="28"/>
          <w:szCs w:val="28"/>
          <w:lang w:val="uk-UA" w:eastAsia="ru-RU"/>
        </w:rPr>
        <w:t>рахуванням потреби та фінансової спроможності бюджету</w:t>
      </w:r>
      <w:r w:rsidR="008C296E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20097" w:rsidRPr="00AD150A" w:rsidRDefault="00256DB5" w:rsidP="00B00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17</w:t>
      </w:r>
      <w:r w:rsidR="00A20097" w:rsidRPr="00AD150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A20097" w:rsidRPr="00AD150A">
        <w:rPr>
          <w:rStyle w:val="FontStyle13"/>
          <w:sz w:val="28"/>
          <w:szCs w:val="28"/>
          <w:lang w:val="uk-UA" w:eastAsia="uk-UA"/>
        </w:rPr>
        <w:t xml:space="preserve">Вартість послуг з безкоштовного зубопротезування не може перевищувати тарифи на платні медичні послуги </w:t>
      </w:r>
      <w:r w:rsidR="00A20097" w:rsidRPr="00AD150A">
        <w:rPr>
          <w:rFonts w:ascii="Times New Roman" w:hAnsi="Times New Roman"/>
          <w:sz w:val="28"/>
          <w:szCs w:val="28"/>
          <w:lang w:val="uk-UA" w:eastAsia="ru-RU"/>
        </w:rPr>
        <w:t>КНП «ТМО «Криворізька клінічна стоматологія» КМР</w:t>
      </w:r>
      <w:r w:rsidR="00A20097" w:rsidRPr="00AD150A">
        <w:rPr>
          <w:rStyle w:val="FontStyle13"/>
          <w:sz w:val="28"/>
          <w:szCs w:val="28"/>
          <w:lang w:val="uk-UA" w:eastAsia="uk-UA"/>
        </w:rPr>
        <w:t>, що діють на момент надання послуги.</w:t>
      </w:r>
    </w:p>
    <w:p w:rsidR="00855530" w:rsidRPr="00AD150A" w:rsidRDefault="00256DB5" w:rsidP="00CE7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99697B" w:rsidRPr="00AD150A">
        <w:rPr>
          <w:rFonts w:ascii="Times New Roman" w:hAnsi="Times New Roman"/>
          <w:sz w:val="28"/>
          <w:szCs w:val="28"/>
          <w:lang w:val="uk-UA" w:eastAsia="ru-RU"/>
        </w:rPr>
        <w:t>. Відшкодування витрат, пов’язаних з наданням послуг безкоштовного зубопротезування пільгових категорій громадян, здійснюється управлінням охорони здоров’я виконкому Криворізької міської ради згідно з договором</w:t>
      </w:r>
      <w:r w:rsidR="004E58A3" w:rsidRPr="00AD150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9697B" w:rsidRPr="00AD150A">
        <w:rPr>
          <w:rFonts w:ascii="Times New Roman" w:hAnsi="Times New Roman"/>
          <w:sz w:val="28"/>
          <w:szCs w:val="28"/>
          <w:lang w:val="uk-UA" w:eastAsia="ru-RU"/>
        </w:rPr>
        <w:t xml:space="preserve"> укладе</w:t>
      </w:r>
      <w:r w:rsidR="004E58A3" w:rsidRPr="00AD150A">
        <w:rPr>
          <w:rFonts w:ascii="Times New Roman" w:hAnsi="Times New Roman"/>
          <w:sz w:val="28"/>
          <w:szCs w:val="28"/>
          <w:lang w:val="uk-UA" w:eastAsia="ru-RU"/>
        </w:rPr>
        <w:t xml:space="preserve">ним </w:t>
      </w:r>
      <w:r w:rsidR="0099697B" w:rsidRPr="00AD150A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4E58A3" w:rsidRPr="00AD150A">
        <w:rPr>
          <w:rFonts w:ascii="Times New Roman" w:hAnsi="Times New Roman"/>
          <w:sz w:val="28"/>
          <w:szCs w:val="28"/>
          <w:lang w:val="uk-UA" w:eastAsia="ru-RU"/>
        </w:rPr>
        <w:t>КНП «ТМО «Криворізька клінічна стоматологія» КМР</w:t>
      </w:r>
      <w:r w:rsidR="0099697B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на певний рік у межах виділених коштів</w:t>
      </w:r>
      <w:r w:rsidR="004E58A3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91F12" w:rsidRPr="00AD150A" w:rsidRDefault="00256DB5" w:rsidP="00491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19</w:t>
      </w:r>
      <w:r w:rsidR="00CA5B17" w:rsidRPr="00AD150A">
        <w:rPr>
          <w:rFonts w:ascii="Times New Roman" w:hAnsi="Times New Roman"/>
          <w:sz w:val="28"/>
          <w:szCs w:val="28"/>
          <w:lang w:val="uk-UA" w:eastAsia="ru-RU"/>
        </w:rPr>
        <w:t>. КНП «ТМО «Криворізька клінічна стоматологія» КМР щомісяця надає управлінню охорони здоров’я виконкому Криворізької міської ради звіт про надані послуги з безкоштовного зубопротезування, складений на підставі реєстру фактично наданих послуг. Складання та подання фінансової звітності про використання бюджетних коштів та їх цільове ефективне витрачання, здійснюється в установленому законодавством порядку</w:t>
      </w:r>
      <w:r w:rsidR="00C23179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91F12" w:rsidRPr="00AD150A" w:rsidRDefault="00256DB5" w:rsidP="001C09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lastRenderedPageBreak/>
        <w:t>20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>Порядок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набуває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 xml:space="preserve"> чинності 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>після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його 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>затвердження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C0938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відповідним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>рішенням виконкому міської ради та стосуєть</w:t>
      </w:r>
      <w:r w:rsidR="001C0938" w:rsidRPr="00AD150A">
        <w:rPr>
          <w:rFonts w:ascii="Times New Roman" w:hAnsi="Times New Roman"/>
          <w:sz w:val="28"/>
          <w:szCs w:val="28"/>
          <w:lang w:val="uk-UA" w:eastAsia="ru-RU"/>
        </w:rPr>
        <w:t xml:space="preserve">ся громадян, які стали на облік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>після</w:t>
      </w:r>
      <w:r w:rsidR="00491F12" w:rsidRPr="00AD15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34C8" w:rsidRPr="00AD150A">
        <w:rPr>
          <w:rFonts w:ascii="Times New Roman" w:hAnsi="Times New Roman"/>
          <w:sz w:val="28"/>
          <w:szCs w:val="28"/>
          <w:lang w:val="uk-UA" w:eastAsia="ru-RU"/>
        </w:rPr>
        <w:t>його затвердження</w:t>
      </w:r>
      <w:r w:rsidR="00C25D53" w:rsidRPr="00AD150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25D53" w:rsidRPr="00AD150A" w:rsidRDefault="00256DB5" w:rsidP="007328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D150A">
        <w:rPr>
          <w:rFonts w:ascii="Times New Roman" w:hAnsi="Times New Roman"/>
          <w:sz w:val="28"/>
          <w:szCs w:val="28"/>
          <w:lang w:val="uk-UA" w:eastAsia="ru-RU"/>
        </w:rPr>
        <w:t>21</w:t>
      </w:r>
      <w:r w:rsidR="00C25D53" w:rsidRPr="00AD150A">
        <w:rPr>
          <w:rFonts w:ascii="Times New Roman" w:hAnsi="Times New Roman"/>
          <w:sz w:val="28"/>
          <w:szCs w:val="28"/>
          <w:lang w:val="uk-UA" w:eastAsia="ru-RU"/>
        </w:rPr>
        <w:t>. Питання</w:t>
      </w:r>
      <w:r w:rsidR="00093AE6" w:rsidRPr="00AD150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25D53" w:rsidRPr="00AD150A">
        <w:rPr>
          <w:rFonts w:ascii="Times New Roman" w:hAnsi="Times New Roman"/>
          <w:sz w:val="28"/>
          <w:szCs w:val="28"/>
          <w:lang w:val="uk-UA" w:eastAsia="ru-RU"/>
        </w:rPr>
        <w:t xml:space="preserve"> не передбачені Порядком, вирішуються відповідно до чинного законодавства України.</w:t>
      </w:r>
    </w:p>
    <w:p w:rsidR="0099697B" w:rsidRPr="00AD150A" w:rsidRDefault="0099697B" w:rsidP="00CE7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9697B" w:rsidRPr="00AD150A" w:rsidRDefault="0099697B" w:rsidP="00CE7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2499" w:rsidRPr="00AD150A" w:rsidRDefault="005E2499" w:rsidP="009C0EB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499" w:rsidRPr="00AD150A" w:rsidRDefault="005E2499" w:rsidP="00277A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499" w:rsidRPr="00AD150A" w:rsidRDefault="005E2499" w:rsidP="00277ADD">
      <w:pPr>
        <w:tabs>
          <w:tab w:val="left" w:pos="851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150A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AD150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AD150A"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</w:p>
    <w:bookmarkEnd w:id="0"/>
    <w:p w:rsidR="005E2499" w:rsidRPr="00AD150A" w:rsidRDefault="005E2499" w:rsidP="009C0EB7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E2499" w:rsidRPr="00AD150A" w:rsidSect="00491F12">
      <w:headerReference w:type="even" r:id="rId11"/>
      <w:headerReference w:type="default" r:id="rId12"/>
      <w:headerReference w:type="first" r:id="rId13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00" w:rsidRDefault="00634A00" w:rsidP="0017250A">
      <w:pPr>
        <w:spacing w:after="0" w:line="240" w:lineRule="auto"/>
      </w:pPr>
      <w:r>
        <w:separator/>
      </w:r>
    </w:p>
  </w:endnote>
  <w:endnote w:type="continuationSeparator" w:id="0">
    <w:p w:rsidR="00634A00" w:rsidRDefault="00634A00" w:rsidP="0017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00" w:rsidRDefault="00634A00" w:rsidP="0017250A">
      <w:pPr>
        <w:spacing w:after="0" w:line="240" w:lineRule="auto"/>
      </w:pPr>
      <w:r>
        <w:separator/>
      </w:r>
    </w:p>
  </w:footnote>
  <w:footnote w:type="continuationSeparator" w:id="0">
    <w:p w:rsidR="00634A00" w:rsidRDefault="00634A00" w:rsidP="0017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9" w:rsidRPr="00DB18E8" w:rsidRDefault="005E2499">
    <w:pPr>
      <w:pStyle w:val="a4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9" w:rsidRPr="002008B7" w:rsidRDefault="007A3338">
    <w:pPr>
      <w:pStyle w:val="a4"/>
      <w:jc w:val="center"/>
      <w:rPr>
        <w:rFonts w:ascii="Times New Roman" w:hAnsi="Times New Roman"/>
        <w:sz w:val="28"/>
        <w:szCs w:val="28"/>
      </w:rPr>
    </w:pPr>
    <w:r w:rsidRPr="002008B7">
      <w:rPr>
        <w:rFonts w:ascii="Times New Roman" w:hAnsi="Times New Roman"/>
        <w:sz w:val="28"/>
        <w:szCs w:val="28"/>
      </w:rPr>
      <w:fldChar w:fldCharType="begin"/>
    </w:r>
    <w:r w:rsidR="005E2499" w:rsidRPr="002008B7">
      <w:rPr>
        <w:rFonts w:ascii="Times New Roman" w:hAnsi="Times New Roman"/>
        <w:sz w:val="28"/>
        <w:szCs w:val="28"/>
      </w:rPr>
      <w:instrText>PAGE   \* MERGEFORMAT</w:instrText>
    </w:r>
    <w:r w:rsidRPr="002008B7">
      <w:rPr>
        <w:rFonts w:ascii="Times New Roman" w:hAnsi="Times New Roman"/>
        <w:sz w:val="28"/>
        <w:szCs w:val="28"/>
      </w:rPr>
      <w:fldChar w:fldCharType="separate"/>
    </w:r>
    <w:r w:rsidR="00AD150A">
      <w:rPr>
        <w:rFonts w:ascii="Times New Roman" w:hAnsi="Times New Roman"/>
        <w:noProof/>
        <w:sz w:val="28"/>
        <w:szCs w:val="28"/>
      </w:rPr>
      <w:t>4</w:t>
    </w:r>
    <w:r w:rsidRPr="002008B7">
      <w:rPr>
        <w:rFonts w:ascii="Times New Roman" w:hAnsi="Times New Roman"/>
        <w:sz w:val="28"/>
        <w:szCs w:val="28"/>
      </w:rPr>
      <w:fldChar w:fldCharType="end"/>
    </w:r>
  </w:p>
  <w:p w:rsidR="005E2499" w:rsidRPr="00DB18E8" w:rsidRDefault="005E2499">
    <w:pPr>
      <w:pStyle w:val="a4"/>
      <w:rPr>
        <w:rFonts w:ascii="Times New Roman" w:hAnsi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9" w:rsidRDefault="005E2499">
    <w:pPr>
      <w:pStyle w:val="a4"/>
      <w:jc w:val="center"/>
    </w:pPr>
  </w:p>
  <w:p w:rsidR="005E2499" w:rsidRDefault="005E24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43EF4D8"/>
    <w:lvl w:ilvl="0">
      <w:numFmt w:val="bullet"/>
      <w:lvlText w:val="*"/>
      <w:lvlJc w:val="left"/>
    </w:lvl>
  </w:abstractNum>
  <w:abstractNum w:abstractNumId="1" w15:restartNumberingAfterBreak="0">
    <w:nsid w:val="1F467291"/>
    <w:multiLevelType w:val="multilevel"/>
    <w:tmpl w:val="832832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E"/>
    <w:rsid w:val="00006C1A"/>
    <w:rsid w:val="0001543D"/>
    <w:rsid w:val="000235E9"/>
    <w:rsid w:val="00024A06"/>
    <w:rsid w:val="00026CD8"/>
    <w:rsid w:val="00030CC4"/>
    <w:rsid w:val="00043705"/>
    <w:rsid w:val="00045B95"/>
    <w:rsid w:val="000628DE"/>
    <w:rsid w:val="0006390C"/>
    <w:rsid w:val="00066D17"/>
    <w:rsid w:val="00070A1D"/>
    <w:rsid w:val="00071EA6"/>
    <w:rsid w:val="000722D2"/>
    <w:rsid w:val="00077599"/>
    <w:rsid w:val="000819ED"/>
    <w:rsid w:val="00093AE6"/>
    <w:rsid w:val="000957EF"/>
    <w:rsid w:val="00096FB3"/>
    <w:rsid w:val="000A1752"/>
    <w:rsid w:val="000A1F52"/>
    <w:rsid w:val="000A79AB"/>
    <w:rsid w:val="000C3670"/>
    <w:rsid w:val="000C6EB9"/>
    <w:rsid w:val="000C7F3E"/>
    <w:rsid w:val="000E16A5"/>
    <w:rsid w:val="000F1866"/>
    <w:rsid w:val="000F6B89"/>
    <w:rsid w:val="00106CC0"/>
    <w:rsid w:val="00117F93"/>
    <w:rsid w:val="0012385A"/>
    <w:rsid w:val="001302FB"/>
    <w:rsid w:val="001517AD"/>
    <w:rsid w:val="00156033"/>
    <w:rsid w:val="00156374"/>
    <w:rsid w:val="00163E78"/>
    <w:rsid w:val="0016694F"/>
    <w:rsid w:val="0016780A"/>
    <w:rsid w:val="0017250A"/>
    <w:rsid w:val="001839A1"/>
    <w:rsid w:val="001840D1"/>
    <w:rsid w:val="001944C6"/>
    <w:rsid w:val="001B4D61"/>
    <w:rsid w:val="001C0938"/>
    <w:rsid w:val="001C0EE0"/>
    <w:rsid w:val="001C32EE"/>
    <w:rsid w:val="001C54DF"/>
    <w:rsid w:val="001F7A91"/>
    <w:rsid w:val="002008B7"/>
    <w:rsid w:val="002117CE"/>
    <w:rsid w:val="00230666"/>
    <w:rsid w:val="00236D44"/>
    <w:rsid w:val="00241BB6"/>
    <w:rsid w:val="00251C9C"/>
    <w:rsid w:val="002531E4"/>
    <w:rsid w:val="00256DB5"/>
    <w:rsid w:val="002652D8"/>
    <w:rsid w:val="00271593"/>
    <w:rsid w:val="002734C8"/>
    <w:rsid w:val="0027405A"/>
    <w:rsid w:val="00274793"/>
    <w:rsid w:val="00277ADD"/>
    <w:rsid w:val="002B1E55"/>
    <w:rsid w:val="002B7030"/>
    <w:rsid w:val="002C55D3"/>
    <w:rsid w:val="002C6AE5"/>
    <w:rsid w:val="002D0098"/>
    <w:rsid w:val="002E56D3"/>
    <w:rsid w:val="002F3695"/>
    <w:rsid w:val="00320AE7"/>
    <w:rsid w:val="003212FB"/>
    <w:rsid w:val="00321683"/>
    <w:rsid w:val="00331A11"/>
    <w:rsid w:val="00337A7D"/>
    <w:rsid w:val="00337E56"/>
    <w:rsid w:val="00350055"/>
    <w:rsid w:val="00350260"/>
    <w:rsid w:val="00361EEC"/>
    <w:rsid w:val="00364F04"/>
    <w:rsid w:val="00373329"/>
    <w:rsid w:val="0038291F"/>
    <w:rsid w:val="0038467E"/>
    <w:rsid w:val="00385186"/>
    <w:rsid w:val="00387774"/>
    <w:rsid w:val="003A0355"/>
    <w:rsid w:val="003A3296"/>
    <w:rsid w:val="003A7119"/>
    <w:rsid w:val="003A76EE"/>
    <w:rsid w:val="003B0A36"/>
    <w:rsid w:val="003B4FC6"/>
    <w:rsid w:val="003C1498"/>
    <w:rsid w:val="003C1662"/>
    <w:rsid w:val="003C69BD"/>
    <w:rsid w:val="003D70D4"/>
    <w:rsid w:val="003E7FCE"/>
    <w:rsid w:val="003F3FAC"/>
    <w:rsid w:val="00405ABC"/>
    <w:rsid w:val="004079EC"/>
    <w:rsid w:val="00413A3D"/>
    <w:rsid w:val="00421EC4"/>
    <w:rsid w:val="004231A3"/>
    <w:rsid w:val="00425196"/>
    <w:rsid w:val="0042597E"/>
    <w:rsid w:val="00426B48"/>
    <w:rsid w:val="00434A4B"/>
    <w:rsid w:val="00445A30"/>
    <w:rsid w:val="00450830"/>
    <w:rsid w:val="00450B74"/>
    <w:rsid w:val="00456F2A"/>
    <w:rsid w:val="0045760C"/>
    <w:rsid w:val="00486FFB"/>
    <w:rsid w:val="00491F12"/>
    <w:rsid w:val="004942D7"/>
    <w:rsid w:val="004A3615"/>
    <w:rsid w:val="004A415C"/>
    <w:rsid w:val="004B73FB"/>
    <w:rsid w:val="004C3E93"/>
    <w:rsid w:val="004D041F"/>
    <w:rsid w:val="004D460C"/>
    <w:rsid w:val="004D6F59"/>
    <w:rsid w:val="004E0368"/>
    <w:rsid w:val="004E58A3"/>
    <w:rsid w:val="004E61CF"/>
    <w:rsid w:val="004E6A3A"/>
    <w:rsid w:val="004F28F3"/>
    <w:rsid w:val="004F43AB"/>
    <w:rsid w:val="00501ABD"/>
    <w:rsid w:val="0051089A"/>
    <w:rsid w:val="005171A8"/>
    <w:rsid w:val="00520195"/>
    <w:rsid w:val="00522755"/>
    <w:rsid w:val="0052798F"/>
    <w:rsid w:val="00527EC4"/>
    <w:rsid w:val="00527FF4"/>
    <w:rsid w:val="00535EB0"/>
    <w:rsid w:val="00544E94"/>
    <w:rsid w:val="0055242E"/>
    <w:rsid w:val="00553015"/>
    <w:rsid w:val="00565802"/>
    <w:rsid w:val="00580D7D"/>
    <w:rsid w:val="00583C59"/>
    <w:rsid w:val="005A0C8E"/>
    <w:rsid w:val="005A42DF"/>
    <w:rsid w:val="005A7873"/>
    <w:rsid w:val="005B3ED5"/>
    <w:rsid w:val="005C7D60"/>
    <w:rsid w:val="005D309D"/>
    <w:rsid w:val="005E2499"/>
    <w:rsid w:val="005F1CE0"/>
    <w:rsid w:val="005F2B72"/>
    <w:rsid w:val="005F58DD"/>
    <w:rsid w:val="00601267"/>
    <w:rsid w:val="006024D0"/>
    <w:rsid w:val="0061180C"/>
    <w:rsid w:val="0061299C"/>
    <w:rsid w:val="006155FD"/>
    <w:rsid w:val="006220C3"/>
    <w:rsid w:val="0062391D"/>
    <w:rsid w:val="00627388"/>
    <w:rsid w:val="00632F9A"/>
    <w:rsid w:val="006340A6"/>
    <w:rsid w:val="00634A00"/>
    <w:rsid w:val="0064203F"/>
    <w:rsid w:val="0064353C"/>
    <w:rsid w:val="00643D54"/>
    <w:rsid w:val="00655706"/>
    <w:rsid w:val="00656A18"/>
    <w:rsid w:val="00656E86"/>
    <w:rsid w:val="00657549"/>
    <w:rsid w:val="00670170"/>
    <w:rsid w:val="00677D68"/>
    <w:rsid w:val="00695586"/>
    <w:rsid w:val="006B1F06"/>
    <w:rsid w:val="006B4BD9"/>
    <w:rsid w:val="006D0CF9"/>
    <w:rsid w:val="006E2CFF"/>
    <w:rsid w:val="006E48C3"/>
    <w:rsid w:val="006E4BD4"/>
    <w:rsid w:val="006E7BA2"/>
    <w:rsid w:val="006F069B"/>
    <w:rsid w:val="006F0D8D"/>
    <w:rsid w:val="006F5601"/>
    <w:rsid w:val="0071158B"/>
    <w:rsid w:val="00713A02"/>
    <w:rsid w:val="007233FA"/>
    <w:rsid w:val="00724BAF"/>
    <w:rsid w:val="0073287A"/>
    <w:rsid w:val="0073505F"/>
    <w:rsid w:val="00742202"/>
    <w:rsid w:val="00750AC6"/>
    <w:rsid w:val="007567BA"/>
    <w:rsid w:val="00776AA8"/>
    <w:rsid w:val="00777398"/>
    <w:rsid w:val="007851F4"/>
    <w:rsid w:val="00787400"/>
    <w:rsid w:val="007936FC"/>
    <w:rsid w:val="007A3338"/>
    <w:rsid w:val="007C1F87"/>
    <w:rsid w:val="007C351A"/>
    <w:rsid w:val="007C4D83"/>
    <w:rsid w:val="007D24CA"/>
    <w:rsid w:val="007D5B44"/>
    <w:rsid w:val="007D7A06"/>
    <w:rsid w:val="007E6C98"/>
    <w:rsid w:val="007F1019"/>
    <w:rsid w:val="007F2461"/>
    <w:rsid w:val="007F52E5"/>
    <w:rsid w:val="007F5502"/>
    <w:rsid w:val="00802A8E"/>
    <w:rsid w:val="00815BEA"/>
    <w:rsid w:val="00855530"/>
    <w:rsid w:val="00863BFD"/>
    <w:rsid w:val="00864DCD"/>
    <w:rsid w:val="008660CA"/>
    <w:rsid w:val="00866C96"/>
    <w:rsid w:val="00873B01"/>
    <w:rsid w:val="00873CD9"/>
    <w:rsid w:val="00893C3B"/>
    <w:rsid w:val="008A358F"/>
    <w:rsid w:val="008B18C5"/>
    <w:rsid w:val="008C10B5"/>
    <w:rsid w:val="008C296E"/>
    <w:rsid w:val="008C2EE4"/>
    <w:rsid w:val="008C6F0D"/>
    <w:rsid w:val="008D1973"/>
    <w:rsid w:val="008D32C8"/>
    <w:rsid w:val="008D4252"/>
    <w:rsid w:val="008D4395"/>
    <w:rsid w:val="008D513D"/>
    <w:rsid w:val="008E4DF6"/>
    <w:rsid w:val="008E5B45"/>
    <w:rsid w:val="0091031B"/>
    <w:rsid w:val="00913731"/>
    <w:rsid w:val="009137CA"/>
    <w:rsid w:val="00920BC3"/>
    <w:rsid w:val="0092252B"/>
    <w:rsid w:val="00942EEA"/>
    <w:rsid w:val="00952157"/>
    <w:rsid w:val="00955F4C"/>
    <w:rsid w:val="00970760"/>
    <w:rsid w:val="009761CB"/>
    <w:rsid w:val="00982176"/>
    <w:rsid w:val="009835C4"/>
    <w:rsid w:val="0099605E"/>
    <w:rsid w:val="0099697B"/>
    <w:rsid w:val="009A742B"/>
    <w:rsid w:val="009B0BFE"/>
    <w:rsid w:val="009B59B2"/>
    <w:rsid w:val="009C0EB7"/>
    <w:rsid w:val="009C3804"/>
    <w:rsid w:val="009C726B"/>
    <w:rsid w:val="009D2336"/>
    <w:rsid w:val="009D5E5F"/>
    <w:rsid w:val="009D7695"/>
    <w:rsid w:val="009E35E7"/>
    <w:rsid w:val="009F1595"/>
    <w:rsid w:val="009F6D67"/>
    <w:rsid w:val="00A0087C"/>
    <w:rsid w:val="00A20097"/>
    <w:rsid w:val="00A25BAE"/>
    <w:rsid w:val="00A47773"/>
    <w:rsid w:val="00A547A8"/>
    <w:rsid w:val="00A56E28"/>
    <w:rsid w:val="00A61947"/>
    <w:rsid w:val="00A66426"/>
    <w:rsid w:val="00A732B3"/>
    <w:rsid w:val="00A76543"/>
    <w:rsid w:val="00A9580D"/>
    <w:rsid w:val="00AB5A6E"/>
    <w:rsid w:val="00AB7AD8"/>
    <w:rsid w:val="00AC4BAB"/>
    <w:rsid w:val="00AD150A"/>
    <w:rsid w:val="00AE226D"/>
    <w:rsid w:val="00AE72CA"/>
    <w:rsid w:val="00AE782E"/>
    <w:rsid w:val="00AF065E"/>
    <w:rsid w:val="00AF1B86"/>
    <w:rsid w:val="00AF5030"/>
    <w:rsid w:val="00B0008A"/>
    <w:rsid w:val="00B10279"/>
    <w:rsid w:val="00B2273B"/>
    <w:rsid w:val="00B24AC0"/>
    <w:rsid w:val="00B26231"/>
    <w:rsid w:val="00B309E3"/>
    <w:rsid w:val="00B3317C"/>
    <w:rsid w:val="00B400F3"/>
    <w:rsid w:val="00B460A0"/>
    <w:rsid w:val="00B50E47"/>
    <w:rsid w:val="00B5757F"/>
    <w:rsid w:val="00B608EF"/>
    <w:rsid w:val="00B649AC"/>
    <w:rsid w:val="00B76CE6"/>
    <w:rsid w:val="00B77926"/>
    <w:rsid w:val="00B80603"/>
    <w:rsid w:val="00B9525B"/>
    <w:rsid w:val="00BA14E5"/>
    <w:rsid w:val="00BA5CAF"/>
    <w:rsid w:val="00BB744F"/>
    <w:rsid w:val="00BC2B56"/>
    <w:rsid w:val="00BC5214"/>
    <w:rsid w:val="00BF0757"/>
    <w:rsid w:val="00BF3245"/>
    <w:rsid w:val="00C10AC5"/>
    <w:rsid w:val="00C23179"/>
    <w:rsid w:val="00C24F61"/>
    <w:rsid w:val="00C25D53"/>
    <w:rsid w:val="00C3148B"/>
    <w:rsid w:val="00C33EAD"/>
    <w:rsid w:val="00C55DAA"/>
    <w:rsid w:val="00C6195D"/>
    <w:rsid w:val="00C66692"/>
    <w:rsid w:val="00C6751A"/>
    <w:rsid w:val="00C75A5C"/>
    <w:rsid w:val="00C76552"/>
    <w:rsid w:val="00C82A84"/>
    <w:rsid w:val="00C8370B"/>
    <w:rsid w:val="00C946A3"/>
    <w:rsid w:val="00CA4BAE"/>
    <w:rsid w:val="00CA5B17"/>
    <w:rsid w:val="00CB2CDF"/>
    <w:rsid w:val="00CB4C86"/>
    <w:rsid w:val="00CC12DB"/>
    <w:rsid w:val="00CD0B42"/>
    <w:rsid w:val="00CE322F"/>
    <w:rsid w:val="00CE405C"/>
    <w:rsid w:val="00CE425E"/>
    <w:rsid w:val="00CE7359"/>
    <w:rsid w:val="00CF453B"/>
    <w:rsid w:val="00D00BD7"/>
    <w:rsid w:val="00D06F1A"/>
    <w:rsid w:val="00D07644"/>
    <w:rsid w:val="00D14750"/>
    <w:rsid w:val="00D354B5"/>
    <w:rsid w:val="00D37E83"/>
    <w:rsid w:val="00D40F18"/>
    <w:rsid w:val="00D45E79"/>
    <w:rsid w:val="00D511A8"/>
    <w:rsid w:val="00D61F8E"/>
    <w:rsid w:val="00D638EC"/>
    <w:rsid w:val="00D80A11"/>
    <w:rsid w:val="00D81863"/>
    <w:rsid w:val="00D839B9"/>
    <w:rsid w:val="00DA1D9A"/>
    <w:rsid w:val="00DA2039"/>
    <w:rsid w:val="00DB18E8"/>
    <w:rsid w:val="00DB3C96"/>
    <w:rsid w:val="00DB6A3F"/>
    <w:rsid w:val="00DC1A77"/>
    <w:rsid w:val="00DD187E"/>
    <w:rsid w:val="00DD6DA9"/>
    <w:rsid w:val="00DE0CED"/>
    <w:rsid w:val="00DF0938"/>
    <w:rsid w:val="00DF152E"/>
    <w:rsid w:val="00DF548E"/>
    <w:rsid w:val="00E01EB7"/>
    <w:rsid w:val="00E031B0"/>
    <w:rsid w:val="00E034F0"/>
    <w:rsid w:val="00E07136"/>
    <w:rsid w:val="00E12DB0"/>
    <w:rsid w:val="00E26A33"/>
    <w:rsid w:val="00E416AC"/>
    <w:rsid w:val="00E43565"/>
    <w:rsid w:val="00E43A0E"/>
    <w:rsid w:val="00E4687E"/>
    <w:rsid w:val="00E53BDC"/>
    <w:rsid w:val="00E57651"/>
    <w:rsid w:val="00E57712"/>
    <w:rsid w:val="00E6716A"/>
    <w:rsid w:val="00E76AC8"/>
    <w:rsid w:val="00E94071"/>
    <w:rsid w:val="00E956D6"/>
    <w:rsid w:val="00EA2A9B"/>
    <w:rsid w:val="00EA605A"/>
    <w:rsid w:val="00EB14FC"/>
    <w:rsid w:val="00EB1BE7"/>
    <w:rsid w:val="00EB283C"/>
    <w:rsid w:val="00EB70A7"/>
    <w:rsid w:val="00ED4DF5"/>
    <w:rsid w:val="00ED5AA1"/>
    <w:rsid w:val="00EE3365"/>
    <w:rsid w:val="00EF3B1F"/>
    <w:rsid w:val="00F00F55"/>
    <w:rsid w:val="00F1500D"/>
    <w:rsid w:val="00F36326"/>
    <w:rsid w:val="00F42AAA"/>
    <w:rsid w:val="00F452DF"/>
    <w:rsid w:val="00F4553B"/>
    <w:rsid w:val="00F45B5B"/>
    <w:rsid w:val="00F46F42"/>
    <w:rsid w:val="00F56019"/>
    <w:rsid w:val="00F578BB"/>
    <w:rsid w:val="00F61428"/>
    <w:rsid w:val="00F86476"/>
    <w:rsid w:val="00F957A4"/>
    <w:rsid w:val="00FA22BA"/>
    <w:rsid w:val="00FA702F"/>
    <w:rsid w:val="00FA7E32"/>
    <w:rsid w:val="00FB0B96"/>
    <w:rsid w:val="00FB781B"/>
    <w:rsid w:val="00FC4112"/>
    <w:rsid w:val="00FD14BF"/>
    <w:rsid w:val="00FD3923"/>
    <w:rsid w:val="00FD3FDD"/>
    <w:rsid w:val="00FD77B9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45A400-EDFA-4654-AB0D-81266B8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AA1"/>
    <w:pPr>
      <w:ind w:left="720"/>
      <w:contextualSpacing/>
    </w:pPr>
  </w:style>
  <w:style w:type="paragraph" w:customStyle="1" w:styleId="Style3">
    <w:name w:val="Style3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2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F1866"/>
    <w:rPr>
      <w:rFonts w:ascii="Georgia" w:hAnsi="Georgia" w:cs="Georgia"/>
      <w:spacing w:val="-20"/>
      <w:sz w:val="22"/>
      <w:szCs w:val="22"/>
    </w:rPr>
  </w:style>
  <w:style w:type="paragraph" w:styleId="a4">
    <w:name w:val="header"/>
    <w:basedOn w:val="a"/>
    <w:link w:val="a5"/>
    <w:uiPriority w:val="99"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250A"/>
    <w:rPr>
      <w:rFonts w:cs="Times New Roman"/>
    </w:rPr>
  </w:style>
  <w:style w:type="paragraph" w:styleId="a6">
    <w:name w:val="footer"/>
    <w:basedOn w:val="a"/>
    <w:link w:val="a7"/>
    <w:uiPriority w:val="99"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7250A"/>
    <w:rPr>
      <w:rFonts w:cs="Times New Roman"/>
    </w:rPr>
  </w:style>
  <w:style w:type="character" w:styleId="a8">
    <w:name w:val="Hyperlink"/>
    <w:basedOn w:val="a0"/>
    <w:uiPriority w:val="99"/>
    <w:semiHidden/>
    <w:rsid w:val="00D81863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D81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D81863"/>
    <w:rPr>
      <w:rFonts w:cs="Times New Roman"/>
    </w:rPr>
  </w:style>
  <w:style w:type="character" w:customStyle="1" w:styleId="rvts0">
    <w:name w:val="rvts0"/>
    <w:basedOn w:val="a0"/>
    <w:uiPriority w:val="99"/>
    <w:rsid w:val="00D81863"/>
    <w:rPr>
      <w:rFonts w:cs="Times New Roman"/>
    </w:rPr>
  </w:style>
  <w:style w:type="paragraph" w:customStyle="1" w:styleId="rtejustify">
    <w:name w:val="rtejustify"/>
    <w:basedOn w:val="a"/>
    <w:uiPriority w:val="99"/>
    <w:rsid w:val="006B4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9C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99"/>
    <w:qFormat/>
    <w:rsid w:val="00350055"/>
    <w:rPr>
      <w:rFonts w:cs="Times New Roman"/>
      <w:b/>
      <w:bCs/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16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94F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3551-1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0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355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65B7-601D-49F5-9DAF-F1F9AB07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25</cp:revision>
  <cp:lastPrinted>2024-02-16T09:57:00Z</cp:lastPrinted>
  <dcterms:created xsi:type="dcterms:W3CDTF">2024-02-16T08:41:00Z</dcterms:created>
  <dcterms:modified xsi:type="dcterms:W3CDTF">2024-02-21T08:44:00Z</dcterms:modified>
</cp:coreProperties>
</file>