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69B" w:rsidRPr="00F9366D" w:rsidRDefault="00C41474" w:rsidP="0051469B">
      <w:pPr>
        <w:spacing w:after="0"/>
        <w:ind w:left="567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Додаток 3</w:t>
      </w:r>
      <w:r w:rsidR="00155FE8" w:rsidRPr="00BC34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</w:t>
      </w:r>
      <w:r w:rsidR="00CA25C4" w:rsidRPr="00BC34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             </w:t>
      </w:r>
      <w:r w:rsidR="0051469B" w:rsidRPr="00BC34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до П</w:t>
      </w:r>
      <w:r w:rsidR="00CB0AE0" w:rsidRPr="00BC34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51469B" w:rsidRPr="00BC34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рядку розгляду заяв про надання компенсації для відновлення окремих категорій об’єктів</w:t>
      </w:r>
      <w:r w:rsidR="00B47736" w:rsidRPr="00BC34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нерухомого майна, пошкоджених у</w:t>
      </w:r>
      <w:r w:rsidR="0051469B" w:rsidRPr="00BC34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наслідок бойових дій, терористичних актів, диверсій, спричинених збройною агресі</w:t>
      </w:r>
      <w:r w:rsidR="00610BA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єю Російської   Федерації,  з </w:t>
      </w:r>
      <w:r w:rsidR="0051469B" w:rsidRPr="00BC34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використа</w:t>
      </w:r>
      <w:r w:rsidR="00610BA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н-</w:t>
      </w:r>
      <w:r w:rsidR="0051469B" w:rsidRPr="00BC34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ням електронної публічної послуги «єВідновлення</w:t>
      </w:r>
      <w:r w:rsidR="0051469B" w:rsidRPr="00F93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B47736" w:rsidRPr="00F93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9366D" w:rsidRPr="00F93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підпу</w:t>
      </w:r>
      <w:r w:rsidR="00B47736" w:rsidRPr="00F93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нкт</w:t>
      </w:r>
      <w:r w:rsidR="00683F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48.3</w:t>
      </w:r>
      <w:r w:rsidR="00B47736" w:rsidRPr="00F93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E4D29" w:rsidRDefault="00FE4D29" w:rsidP="006653C2">
      <w:pPr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eastAsia="uk-UA"/>
        </w:rPr>
      </w:pPr>
    </w:p>
    <w:p w:rsidR="00610BAC" w:rsidRPr="0051469B" w:rsidRDefault="00610BAC" w:rsidP="006653C2">
      <w:pPr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eastAsia="uk-UA"/>
        </w:rPr>
      </w:pPr>
    </w:p>
    <w:p w:rsidR="00332661" w:rsidRPr="00E40AC5" w:rsidRDefault="00332661" w:rsidP="0051469B">
      <w:pPr>
        <w:spacing w:after="0"/>
        <w:rPr>
          <w:rFonts w:ascii="Times New Roman" w:hAnsi="Times New Roman" w:cs="Times New Roman"/>
          <w:b/>
          <w:i/>
          <w:noProof/>
          <w:color w:val="000000" w:themeColor="text1"/>
          <w:sz w:val="16"/>
          <w:szCs w:val="16"/>
          <w:lang w:eastAsia="uk-UA"/>
        </w:rPr>
      </w:pPr>
    </w:p>
    <w:p w:rsidR="00927DAC" w:rsidRDefault="00261D67" w:rsidP="0051469B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ПЕРЕЛІК ЗАХОДІВ</w:t>
      </w:r>
    </w:p>
    <w:p w:rsidR="00261D67" w:rsidRDefault="00261D67" w:rsidP="0051469B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щодо мінімізації негативного впливу на здоров</w:t>
      </w:r>
      <w:r>
        <w:rPr>
          <w:rFonts w:ascii="Calibri" w:hAnsi="Calibri" w:cs="Times New Roman"/>
          <w:b/>
          <w:i/>
          <w:noProof/>
          <w:color w:val="000000" w:themeColor="text1"/>
          <w:sz w:val="28"/>
          <w:szCs w:val="28"/>
          <w:lang w:eastAsia="uk-UA"/>
        </w:rPr>
        <w:t>`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я людей та навко</w:t>
      </w:r>
      <w:r w:rsidR="00610BAC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лишнє природне середовище під ча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 xml:space="preserve">с виконання будівельних робіт </w:t>
      </w:r>
    </w:p>
    <w:p w:rsidR="00610BAC" w:rsidRDefault="00610BAC" w:rsidP="0051469B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eastAsia="uk-UA"/>
        </w:rPr>
      </w:pPr>
    </w:p>
    <w:p w:rsidR="00610BAC" w:rsidRPr="00610BAC" w:rsidRDefault="00610BAC" w:rsidP="0051469B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eastAsia="uk-UA"/>
        </w:rPr>
      </w:pPr>
    </w:p>
    <w:tbl>
      <w:tblPr>
        <w:tblStyle w:val="a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69"/>
        <w:gridCol w:w="6237"/>
      </w:tblGrid>
      <w:tr w:rsidR="00261D67" w:rsidTr="00261D67">
        <w:tc>
          <w:tcPr>
            <w:tcW w:w="3969" w:type="dxa"/>
          </w:tcPr>
          <w:p w:rsidR="00261D67" w:rsidRPr="00261D67" w:rsidRDefault="00261D67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261D67">
              <w:rPr>
                <w:rFonts w:ascii="Times New Roman" w:hAnsi="Times New Roman"/>
                <w:b/>
                <w:i/>
                <w:sz w:val="28"/>
                <w:szCs w:val="28"/>
              </w:rPr>
              <w:t>Потенційні негативні впливи на здоров’я людей та навколишнє природне середовище</w:t>
            </w:r>
          </w:p>
        </w:tc>
        <w:tc>
          <w:tcPr>
            <w:tcW w:w="6237" w:type="dxa"/>
          </w:tcPr>
          <w:p w:rsidR="00261D67" w:rsidRPr="00261D67" w:rsidRDefault="00261D67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261D67">
              <w:rPr>
                <w:rFonts w:ascii="Times New Roman" w:hAnsi="Times New Roman"/>
                <w:b/>
                <w:i/>
                <w:sz w:val="28"/>
                <w:szCs w:val="28"/>
              </w:rPr>
              <w:t>Заходи щодо мінімізації негативного впливу на здоров’я людей та навколишнє природне середовище</w:t>
            </w:r>
          </w:p>
        </w:tc>
      </w:tr>
      <w:tr w:rsidR="005735B8" w:rsidTr="00261D67">
        <w:tc>
          <w:tcPr>
            <w:tcW w:w="3969" w:type="dxa"/>
          </w:tcPr>
          <w:p w:rsidR="005735B8" w:rsidRPr="00261D67" w:rsidRDefault="005735B8" w:rsidP="0051469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735B8" w:rsidRPr="00261D67" w:rsidRDefault="005735B8" w:rsidP="0051469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</w:tr>
      <w:tr w:rsidR="00261D67" w:rsidTr="00261D67">
        <w:tc>
          <w:tcPr>
            <w:tcW w:w="3969" w:type="dxa"/>
          </w:tcPr>
          <w:p w:rsidR="00261D67" w:rsidRPr="00477E37" w:rsidRDefault="00610BAC" w:rsidP="005735B8">
            <w:pPr>
              <w:jc w:val="both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Утворення пилу </w:t>
            </w:r>
            <w:r w:rsidR="005735B8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261D67">
              <w:rPr>
                <w:rFonts w:ascii="Times New Roman" w:hAnsi="Times New Roman"/>
                <w:sz w:val="28"/>
                <w:szCs w:val="28"/>
              </w:rPr>
              <w:t>перевище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5735B8">
              <w:rPr>
                <w:rFonts w:ascii="Times New Roman" w:hAnsi="Times New Roman"/>
                <w:sz w:val="28"/>
                <w:szCs w:val="28"/>
              </w:rPr>
              <w:t>-</w:t>
            </w:r>
            <w:r w:rsidR="00261D67">
              <w:rPr>
                <w:rFonts w:ascii="Times New Roman" w:hAnsi="Times New Roman"/>
                <w:sz w:val="28"/>
                <w:szCs w:val="28"/>
              </w:rPr>
              <w:t>ня допустимого рівня шуму</w:t>
            </w:r>
          </w:p>
        </w:tc>
        <w:tc>
          <w:tcPr>
            <w:tcW w:w="6237" w:type="dxa"/>
          </w:tcPr>
          <w:p w:rsidR="00261D67" w:rsidRDefault="005735B8" w:rsidP="00261D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261D67">
              <w:rPr>
                <w:rFonts w:ascii="Times New Roman" w:hAnsi="Times New Roman"/>
                <w:sz w:val="28"/>
                <w:szCs w:val="28"/>
              </w:rPr>
              <w:t>едопущення виконання ремонтних робіт, що супроводжуються шумом, у робочі дні з 21 години вечора до 8 години ранку, а у святкові та неробочі дні — цілодобово;</w:t>
            </w:r>
          </w:p>
          <w:p w:rsidR="00261D67" w:rsidRDefault="00C41474" w:rsidP="00261D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 </w:t>
            </w:r>
            <w:r w:rsidR="00261D67">
              <w:rPr>
                <w:rFonts w:ascii="Times New Roman" w:hAnsi="Times New Roman"/>
                <w:sz w:val="28"/>
                <w:szCs w:val="28"/>
              </w:rPr>
              <w:t xml:space="preserve">здійснення контролю за рівнем шуму під час виконання робіт, </w:t>
            </w:r>
            <w:r w:rsidR="005735B8">
              <w:rPr>
                <w:rFonts w:ascii="Times New Roman" w:hAnsi="Times New Roman"/>
                <w:sz w:val="28"/>
                <w:szCs w:val="28"/>
              </w:rPr>
              <w:t>що не може</w:t>
            </w:r>
            <w:r w:rsidR="00261D67">
              <w:rPr>
                <w:rFonts w:ascii="Times New Roman" w:hAnsi="Times New Roman"/>
                <w:sz w:val="28"/>
                <w:szCs w:val="28"/>
              </w:rPr>
              <w:t xml:space="preserve"> перевищувати рівнів, установлених санітарними нормами для відповідного часу доби;</w:t>
            </w:r>
          </w:p>
          <w:p w:rsidR="00261D67" w:rsidRDefault="00C41474" w:rsidP="00261D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 забезпечення виконання робіт </w:t>
            </w:r>
            <w:r w:rsidR="00261D67">
              <w:rPr>
                <w:rFonts w:ascii="Times New Roman" w:hAnsi="Times New Roman"/>
                <w:sz w:val="28"/>
                <w:szCs w:val="28"/>
              </w:rPr>
              <w:t>з використанням засобів індивідуального захисту (респіраторів, рукавиць тощо); здійснення вологого прибирання робочої зони після виконання окремих етапів робіт, відокремлення робочої зони від приміщень, що експлуатуються, захисними екранами (ПВХ-плівка тощо);</w:t>
            </w:r>
          </w:p>
          <w:p w:rsidR="00261D67" w:rsidRDefault="00C41474" w:rsidP="00261D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1D67">
              <w:rPr>
                <w:rFonts w:ascii="Times New Roman" w:hAnsi="Times New Roman"/>
                <w:sz w:val="28"/>
                <w:szCs w:val="28"/>
              </w:rPr>
              <w:t>недопущення</w:t>
            </w:r>
            <w:r w:rsidR="005735B8">
              <w:rPr>
                <w:rFonts w:ascii="Times New Roman" w:hAnsi="Times New Roman"/>
                <w:sz w:val="28"/>
                <w:szCs w:val="28"/>
              </w:rPr>
              <w:t> здійснення розвантаження/заван</w:t>
            </w:r>
            <w:r w:rsidR="00261D67">
              <w:rPr>
                <w:rFonts w:ascii="Times New Roman" w:hAnsi="Times New Roman"/>
                <w:sz w:val="28"/>
                <w:szCs w:val="28"/>
              </w:rPr>
              <w:t>та</w:t>
            </w:r>
            <w:r w:rsidR="005735B8">
              <w:rPr>
                <w:rFonts w:ascii="Times New Roman" w:hAnsi="Times New Roman"/>
                <w:sz w:val="28"/>
                <w:szCs w:val="28"/>
              </w:rPr>
              <w:t>-</w:t>
            </w:r>
            <w:r w:rsidR="00261D67">
              <w:rPr>
                <w:rFonts w:ascii="Times New Roman" w:hAnsi="Times New Roman"/>
                <w:sz w:val="28"/>
                <w:szCs w:val="28"/>
              </w:rPr>
              <w:t>ження відходів від руйнувань, будівництва та знесення (демонтажу), будівельної продукції (матеріалів, виробів або комплектів)</w:t>
            </w:r>
            <w:r w:rsidR="005735B8">
              <w:rPr>
                <w:rFonts w:ascii="Times New Roman" w:hAnsi="Times New Roman"/>
                <w:sz w:val="28"/>
                <w:szCs w:val="28"/>
              </w:rPr>
              <w:t xml:space="preserve"> на території житлової забудови</w:t>
            </w:r>
          </w:p>
        </w:tc>
      </w:tr>
      <w:tr w:rsidR="00610BAC" w:rsidTr="00261D67">
        <w:tc>
          <w:tcPr>
            <w:tcW w:w="3969" w:type="dxa"/>
          </w:tcPr>
          <w:p w:rsidR="00610BAC" w:rsidRPr="008727A1" w:rsidRDefault="00610BAC" w:rsidP="00610B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2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6237" w:type="dxa"/>
          </w:tcPr>
          <w:p w:rsidR="00610BAC" w:rsidRPr="008727A1" w:rsidRDefault="00610BAC" w:rsidP="00610B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2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610BAC" w:rsidTr="00261D67">
        <w:tc>
          <w:tcPr>
            <w:tcW w:w="3969" w:type="dxa"/>
          </w:tcPr>
          <w:p w:rsidR="00610BAC" w:rsidRPr="006E78A6" w:rsidRDefault="00610BAC" w:rsidP="0061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Утворення відходів від руйну-вань, будівництва та знесення (демонтажу), що не є небезпе-чними</w:t>
            </w:r>
          </w:p>
        </w:tc>
        <w:tc>
          <w:tcPr>
            <w:tcW w:w="6237" w:type="dxa"/>
          </w:tcPr>
          <w:p w:rsidR="00610BAC" w:rsidRDefault="00610BAC" w:rsidP="0061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D64D1E">
              <w:rPr>
                <w:rFonts w:ascii="Times New Roman" w:hAnsi="Times New Roman"/>
                <w:sz w:val="28"/>
                <w:szCs w:val="28"/>
              </w:rPr>
              <w:t>едопущення збирання (складування) відходів від руйнувань, будівництва та знесення (демонтажу)</w:t>
            </w:r>
            <w:r>
              <w:rPr>
                <w:rFonts w:ascii="Times New Roman" w:hAnsi="Times New Roman"/>
                <w:sz w:val="28"/>
                <w:szCs w:val="28"/>
              </w:rPr>
              <w:t>  </w:t>
            </w:r>
            <w:r w:rsidRPr="00D64D1E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t>  </w:t>
            </w:r>
            <w:r w:rsidRPr="00D64D1E">
              <w:rPr>
                <w:rFonts w:ascii="Times New Roman" w:hAnsi="Times New Roman"/>
                <w:sz w:val="28"/>
                <w:szCs w:val="28"/>
              </w:rPr>
              <w:t xml:space="preserve">контейнерних </w:t>
            </w:r>
            <w:r>
              <w:rPr>
                <w:rFonts w:ascii="Times New Roman" w:hAnsi="Times New Roman"/>
                <w:sz w:val="28"/>
                <w:szCs w:val="28"/>
              </w:rPr>
              <w:t>   </w:t>
            </w:r>
            <w:r w:rsidRPr="00D64D1E">
              <w:rPr>
                <w:rFonts w:ascii="Times New Roman" w:hAnsi="Times New Roman"/>
                <w:sz w:val="28"/>
                <w:szCs w:val="28"/>
              </w:rPr>
              <w:t>майданчиках, передба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чених для роздільного збирання, </w:t>
            </w:r>
            <w:r w:rsidRPr="00D64D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недопущення збирання (складування) відходів від руйнувань, будівництва та знесення (демонтажу) на контейнерних майданчиках, передбачених для роздільного збирання і зберігання побутових відходів, урн для побутових відходів або інших, не передбачених для цього місцях (лісосмуги, яри, пустирі тощо);</w:t>
            </w:r>
          </w:p>
          <w:p w:rsidR="00610BAC" w:rsidRPr="00D64D1E" w:rsidRDefault="00610BAC" w:rsidP="0061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 </w:t>
            </w:r>
            <w:r w:rsidRPr="00D64D1E">
              <w:rPr>
                <w:rFonts w:ascii="Times New Roman" w:hAnsi="Times New Roman"/>
                <w:sz w:val="28"/>
                <w:szCs w:val="28"/>
              </w:rPr>
              <w:t>забезпечення роздільного збирання відходів від будівництва та знесення (демонтажу) за основним компонентом (цегла та бетон, скло, пластик, метал)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10BAC" w:rsidRDefault="00610BAC" w:rsidP="0061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 дотримання під час поводження з відходами від будівництва та знесення (демонтажу) заходів щодо захисту ґрунтів від засмічення та забруднення;</w:t>
            </w:r>
          </w:p>
          <w:p w:rsidR="00610BAC" w:rsidRDefault="00610BAC" w:rsidP="0061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 забезпечення розміщення відходів від руйнувань лише в спеціально відведених місцях;</w:t>
            </w:r>
          </w:p>
          <w:p w:rsidR="00610BAC" w:rsidRDefault="00610BAC" w:rsidP="0061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 організація місць складування будівельних матеріалів </w:t>
            </w:r>
            <w:r>
              <w:rPr>
                <w:rFonts w:ascii="Calibri" w:hAnsi="Calibri" w:cs="Calibri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виробів (продукції)</w:t>
            </w:r>
            <w:r>
              <w:rPr>
                <w:rFonts w:ascii="Calibri" w:hAnsi="Calibri" w:cs="Calibri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> має здійснюватися таким чином, щоб уникати забруднення ґрунтів, поверхневих та підземних вод;</w:t>
            </w:r>
          </w:p>
          <w:p w:rsidR="00610BAC" w:rsidRDefault="00610BAC" w:rsidP="0061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 використання будівельних сміттєпроводів під час виконання демонтажних робіт на другому поверсі  та  вище, недопущення  здійснення роз-вантаження/завантаження відходів від руйнувань, будівництва та знесення (демонтажу), будівельної продукції (матеріалів, виробів або комплектів) на території житлової забудови</w:t>
            </w:r>
          </w:p>
        </w:tc>
      </w:tr>
      <w:tr w:rsidR="00610BAC" w:rsidTr="00261D67">
        <w:tc>
          <w:tcPr>
            <w:tcW w:w="3969" w:type="dxa"/>
          </w:tcPr>
          <w:p w:rsidR="00610BAC" w:rsidRPr="006E78A6" w:rsidRDefault="00610BAC" w:rsidP="0061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Утворення відходів від руйнувань, будівництва та знесення (демонтажу), у складі яких є небезпечні відходи, зокрема азбестовмісні відходи (матеріали), шифер, труби, волокнисті плити, картон</w:t>
            </w:r>
          </w:p>
        </w:tc>
        <w:tc>
          <w:tcPr>
            <w:tcW w:w="6237" w:type="dxa"/>
          </w:tcPr>
          <w:p w:rsidR="00610BAC" w:rsidRPr="009023B0" w:rsidRDefault="00610BAC" w:rsidP="0061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9023B0">
              <w:rPr>
                <w:rFonts w:ascii="Times New Roman" w:hAnsi="Times New Roman"/>
                <w:sz w:val="28"/>
                <w:szCs w:val="28"/>
              </w:rPr>
              <w:t>абезпечення поводження з відходами від руйнувань, будівництва та знесення (демонтажу), що містять азбест, із застосуванням засобів індивідуального захисту органів дихання та захисного одягу відповідного класу захисту, а також зволоження місць їх збирання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10BAC" w:rsidRPr="000470BE" w:rsidRDefault="00610BAC" w:rsidP="0061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 недопущення в разі можливості подальшої руйнації азбестовмісних відходів;</w:t>
            </w:r>
          </w:p>
          <w:p w:rsidR="00610BAC" w:rsidRDefault="00610BAC" w:rsidP="0061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 недопущення поширення азбестовмісного пилу, забезпечення  проведення   вологого  прибирання </w:t>
            </w:r>
          </w:p>
        </w:tc>
      </w:tr>
      <w:tr w:rsidR="00610BAC" w:rsidTr="00261D67">
        <w:tc>
          <w:tcPr>
            <w:tcW w:w="3969" w:type="dxa"/>
          </w:tcPr>
          <w:p w:rsidR="00610BAC" w:rsidRPr="008727A1" w:rsidRDefault="00610BAC" w:rsidP="00610B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2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6237" w:type="dxa"/>
          </w:tcPr>
          <w:p w:rsidR="00610BAC" w:rsidRPr="008727A1" w:rsidRDefault="00610BAC" w:rsidP="00610B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2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610BAC" w:rsidTr="00261D67">
        <w:tc>
          <w:tcPr>
            <w:tcW w:w="3969" w:type="dxa"/>
          </w:tcPr>
          <w:p w:rsidR="00610BAC" w:rsidRPr="009023B0" w:rsidRDefault="00610BAC" w:rsidP="00610B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237" w:type="dxa"/>
          </w:tcPr>
          <w:p w:rsidR="00610BAC" w:rsidRDefault="00610BAC" w:rsidP="0061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(обприскування) робочої зони, у якій проводяться роботи із азбестовмісними матеріалами;</w:t>
            </w:r>
          </w:p>
          <w:p w:rsidR="00610BAC" w:rsidRDefault="00610BAC" w:rsidP="0061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забезпечення   під  час  поводження  з  відходами від  руйнувань, будівництва та знесення  (демон-тажу), що містять азбест, збирання та пакування азбестовмісних відходів в мі</w:t>
            </w:r>
            <w:r w:rsidR="00305261">
              <w:rPr>
                <w:rFonts w:ascii="Times New Roman" w:hAnsi="Times New Roman"/>
                <w:sz w:val="28"/>
                <w:szCs w:val="28"/>
              </w:rPr>
              <w:t>цну, герметичну, пилонепроникну  тару  для  </w:t>
            </w:r>
            <w:r>
              <w:rPr>
                <w:rFonts w:ascii="Times New Roman" w:hAnsi="Times New Roman"/>
                <w:sz w:val="28"/>
                <w:szCs w:val="28"/>
              </w:rPr>
              <w:t>унеможливлення кон</w:t>
            </w:r>
            <w:r w:rsidR="00305261">
              <w:rPr>
                <w:rFonts w:ascii="Times New Roman" w:hAnsi="Times New Roman"/>
                <w:sz w:val="28"/>
                <w:szCs w:val="28"/>
              </w:rPr>
              <w:t>-тактування  з  навколишнім  </w:t>
            </w:r>
            <w:r>
              <w:rPr>
                <w:rFonts w:ascii="Times New Roman" w:hAnsi="Times New Roman"/>
                <w:sz w:val="28"/>
                <w:szCs w:val="28"/>
              </w:rPr>
              <w:t>природним середо</w:t>
            </w:r>
            <w:r w:rsidR="0030526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вищем та сприяння їх транспортуванню до місця оброблення;</w:t>
            </w:r>
          </w:p>
          <w:p w:rsidR="00305261" w:rsidRDefault="00305261" w:rsidP="00305261">
            <w:pPr>
              <w:pStyle w:val="a7"/>
              <w:spacing w:before="0" w:line="228" w:lineRule="auto"/>
              <w:ind w:firstLine="0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</w:t>
            </w:r>
            <w:r w:rsidRPr="009023B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негайне інформування органів місцевог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о самоврядування про виявлення в</w:t>
            </w:r>
            <w:r w:rsidRPr="009023B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складі відходів від руйнувань, будівництва та знесення (демонтажу) відходів, що є вибухонебезпечними, легкозаймистими, небезпечними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;</w:t>
            </w:r>
          </w:p>
          <w:p w:rsidR="00610BAC" w:rsidRPr="00305261" w:rsidRDefault="00305261" w:rsidP="00305261">
            <w:pPr>
              <w:pStyle w:val="a7"/>
              <w:spacing w:before="0" w:line="228" w:lineRule="auto"/>
              <w:ind w:firstLine="0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забезпечення передачі небезпечних відходів від руйнувань, будівництва та знесення (демонтажу) суб’єктам господарювання у сфері управління відходами, що мають ліцензію на провадження господарської діяльності з поводження з небезпечними відходами, а саме: компонентів відходів, що містять поліхлоровані дифеніли (надалі </w:t>
            </w:r>
            <w:r>
              <w:rPr>
                <w:rFonts w:ascii="Calibri" w:hAnsi="Calibri" w:cs="Calibri"/>
                <w:sz w:val="28"/>
                <w:szCs w:val="28"/>
              </w:rPr>
              <w:t>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ПХД) (наприклад, ПХД-вмісні ізолятори,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ПХД-вмісні покриття (для підлоги) на основі синтетичних смол, ПХД-вмісні ущільнювачі склоблоків,  ПХД-вмісні  конденсатори); люміне-сцентних ламп та інших відходів, що містять</w:t>
            </w:r>
            <w:r w:rsidR="007C7C97">
              <w:rPr>
                <w:rFonts w:ascii="Times New Roman" w:hAnsi="Times New Roman"/>
                <w:sz w:val="28"/>
                <w:szCs w:val="28"/>
              </w:rPr>
              <w:t xml:space="preserve"> ртуть; батарей та акумуляторів,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відходів азбесту (пил та волокна)</w:t>
            </w:r>
          </w:p>
        </w:tc>
      </w:tr>
      <w:tr w:rsidR="00610BAC" w:rsidTr="00261D67">
        <w:tc>
          <w:tcPr>
            <w:tcW w:w="3969" w:type="dxa"/>
          </w:tcPr>
          <w:p w:rsidR="00610BAC" w:rsidRDefault="00610BAC" w:rsidP="0061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Нещасні випадки, пов’язані з недотриманням правил безпе</w:t>
            </w:r>
            <w:r w:rsidR="00305261">
              <w:rPr>
                <w:rFonts w:ascii="Times New Roman" w:hAnsi="Times New Roman"/>
                <w:sz w:val="28"/>
                <w:szCs w:val="28"/>
              </w:rPr>
              <w:t>-ки  під  час  проведення </w:t>
            </w:r>
            <w:r>
              <w:rPr>
                <w:rFonts w:ascii="Times New Roman" w:hAnsi="Times New Roman"/>
                <w:sz w:val="28"/>
                <w:szCs w:val="28"/>
              </w:rPr>
              <w:t>висот</w:t>
            </w:r>
            <w:r w:rsidR="0030526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них робіт, правил пожежної б</w:t>
            </w:r>
            <w:r w:rsidR="00305261">
              <w:rPr>
                <w:rFonts w:ascii="Times New Roman" w:hAnsi="Times New Roman"/>
                <w:sz w:val="28"/>
                <w:szCs w:val="28"/>
              </w:rPr>
              <w:t>езпеки та охорони праці під час</w:t>
            </w:r>
            <w:r w:rsidR="00AD73F0">
              <w:rPr>
                <w:rFonts w:ascii="Times New Roman" w:hAnsi="Times New Roman"/>
                <w:sz w:val="28"/>
                <w:szCs w:val="28"/>
              </w:rPr>
              <w:t> </w:t>
            </w:r>
            <w:r w:rsidR="00305261">
              <w:rPr>
                <w:rFonts w:ascii="Times New Roman" w:hAnsi="Times New Roman"/>
                <w:sz w:val="28"/>
                <w:szCs w:val="28"/>
              </w:rPr>
              <w:t> проведення ремонтних </w:t>
            </w:r>
            <w:r>
              <w:rPr>
                <w:rFonts w:ascii="Times New Roman" w:hAnsi="Times New Roman"/>
                <w:sz w:val="28"/>
                <w:szCs w:val="28"/>
              </w:rPr>
              <w:t>ро</w:t>
            </w:r>
            <w:r w:rsidR="00AD73F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біт</w:t>
            </w:r>
          </w:p>
        </w:tc>
        <w:tc>
          <w:tcPr>
            <w:tcW w:w="6237" w:type="dxa"/>
          </w:tcPr>
          <w:p w:rsidR="00610BAC" w:rsidRDefault="00610BAC" w:rsidP="0061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Дотримання під час виконання робіт правил охорони праці, техніки безпеки та пожежної безпеки;</w:t>
            </w:r>
          </w:p>
          <w:p w:rsidR="00610BAC" w:rsidRDefault="00610BAC" w:rsidP="0061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використання лаків, фарб та інших компонентів, що містять </w:t>
            </w:r>
            <w:r w:rsidR="00305261">
              <w:rPr>
                <w:rFonts w:ascii="Times New Roman" w:hAnsi="Times New Roman"/>
                <w:sz w:val="28"/>
                <w:szCs w:val="28"/>
              </w:rPr>
              <w:t>токсичні інгредієнти</w:t>
            </w:r>
            <w:r w:rsidR="00AD73F0">
              <w:rPr>
                <w:rFonts w:ascii="Times New Roman" w:hAnsi="Times New Roman"/>
                <w:sz w:val="28"/>
                <w:szCs w:val="28"/>
              </w:rPr>
              <w:t>,</w:t>
            </w:r>
            <w:r w:rsidR="00305261">
              <w:rPr>
                <w:rFonts w:ascii="Times New Roman" w:hAnsi="Times New Roman"/>
                <w:sz w:val="28"/>
                <w:szCs w:val="28"/>
              </w:rPr>
              <w:t xml:space="preserve"> заборонено</w:t>
            </w:r>
          </w:p>
        </w:tc>
      </w:tr>
      <w:tr w:rsidR="00610BAC" w:rsidTr="00261D67">
        <w:tc>
          <w:tcPr>
            <w:tcW w:w="3969" w:type="dxa"/>
          </w:tcPr>
          <w:p w:rsidR="00610BAC" w:rsidRPr="006E78A6" w:rsidRDefault="00610BAC" w:rsidP="0061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Забруднення ґрунтів</w:t>
            </w:r>
          </w:p>
        </w:tc>
        <w:tc>
          <w:tcPr>
            <w:tcW w:w="6237" w:type="dxa"/>
          </w:tcPr>
          <w:p w:rsidR="00610BAC" w:rsidRDefault="00610BAC" w:rsidP="0061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305261">
              <w:rPr>
                <w:rFonts w:ascii="Times New Roman" w:hAnsi="Times New Roman"/>
                <w:sz w:val="28"/>
                <w:szCs w:val="28"/>
              </w:rPr>
              <w:t>дійснення заходів щодо </w:t>
            </w:r>
            <w:r>
              <w:rPr>
                <w:rFonts w:ascii="Times New Roman" w:hAnsi="Times New Roman"/>
                <w:sz w:val="28"/>
                <w:szCs w:val="28"/>
              </w:rPr>
              <w:t>запобігання забруднен</w:t>
            </w:r>
            <w:r w:rsidR="0030526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ню ґрунту небезпечними речовинами (зокрема внаслідок витоку пально-мастильних матеріалів);</w:t>
            </w:r>
          </w:p>
          <w:p w:rsidR="00610BAC" w:rsidRDefault="00610BAC" w:rsidP="003052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 у   р</w:t>
            </w:r>
            <w:r w:rsidR="007C7C97">
              <w:rPr>
                <w:rFonts w:ascii="Times New Roman" w:hAnsi="Times New Roman"/>
                <w:sz w:val="28"/>
                <w:szCs w:val="28"/>
              </w:rPr>
              <w:t>азі проведення ремонтних робіт, </w:t>
            </w:r>
            <w:r>
              <w:rPr>
                <w:rFonts w:ascii="Times New Roman" w:hAnsi="Times New Roman"/>
                <w:sz w:val="28"/>
                <w:szCs w:val="28"/>
              </w:rPr>
              <w:t>що перед</w:t>
            </w:r>
            <w:r w:rsidR="007C7C97">
              <w:rPr>
                <w:rFonts w:ascii="Times New Roman" w:hAnsi="Times New Roman"/>
                <w:sz w:val="28"/>
                <w:szCs w:val="28"/>
              </w:rPr>
              <w:t>-бачають  зняття родючого  шару  ґрунту, </w:t>
            </w:r>
            <w:r>
              <w:rPr>
                <w:rFonts w:ascii="Times New Roman" w:hAnsi="Times New Roman"/>
                <w:sz w:val="28"/>
                <w:szCs w:val="28"/>
              </w:rPr>
              <w:t>забезпе</w:t>
            </w:r>
            <w:r w:rsidR="007C7C97">
              <w:rPr>
                <w:rFonts w:ascii="Times New Roman" w:hAnsi="Times New Roman"/>
                <w:sz w:val="28"/>
                <w:szCs w:val="28"/>
              </w:rPr>
              <w:t>-чення  його  </w:t>
            </w:r>
            <w:r>
              <w:rPr>
                <w:rFonts w:ascii="Times New Roman" w:hAnsi="Times New Roman"/>
                <w:sz w:val="28"/>
                <w:szCs w:val="28"/>
              </w:rPr>
              <w:t>складува</w:t>
            </w:r>
            <w:r w:rsidR="007C7C97">
              <w:rPr>
                <w:rFonts w:ascii="Times New Roman" w:hAnsi="Times New Roman"/>
                <w:sz w:val="28"/>
                <w:szCs w:val="28"/>
              </w:rPr>
              <w:t>ння, збереження  та викори-стання під час рекультивації </w:t>
            </w:r>
            <w:r>
              <w:rPr>
                <w:rFonts w:ascii="Times New Roman" w:hAnsi="Times New Roman"/>
                <w:sz w:val="28"/>
                <w:szCs w:val="28"/>
              </w:rPr>
              <w:t>зем</w:t>
            </w:r>
            <w:r w:rsidR="007C7C97">
              <w:rPr>
                <w:rFonts w:ascii="Times New Roman" w:hAnsi="Times New Roman"/>
                <w:sz w:val="28"/>
                <w:szCs w:val="28"/>
              </w:rPr>
              <w:t>ель, </w:t>
            </w:r>
            <w:r w:rsidR="00305261">
              <w:rPr>
                <w:rFonts w:ascii="Times New Roman" w:hAnsi="Times New Roman"/>
                <w:sz w:val="28"/>
                <w:szCs w:val="28"/>
              </w:rPr>
              <w:t>покращення </w:t>
            </w:r>
            <w:r>
              <w:rPr>
                <w:rFonts w:ascii="Times New Roman" w:hAnsi="Times New Roman"/>
                <w:sz w:val="28"/>
                <w:szCs w:val="28"/>
              </w:rPr>
              <w:t>малопр</w:t>
            </w:r>
            <w:r w:rsidR="00305261">
              <w:rPr>
                <w:rFonts w:ascii="Times New Roman" w:hAnsi="Times New Roman"/>
                <w:sz w:val="28"/>
                <w:szCs w:val="28"/>
              </w:rPr>
              <w:t>одуктивних земель 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="00305261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благо</w:t>
            </w:r>
            <w:r w:rsidR="007C7C97">
              <w:rPr>
                <w:rFonts w:ascii="Times New Roman" w:hAnsi="Times New Roman"/>
                <w:sz w:val="28"/>
                <w:szCs w:val="28"/>
              </w:rPr>
              <w:t>устрою</w:t>
            </w:r>
          </w:p>
        </w:tc>
      </w:tr>
      <w:tr w:rsidR="00610BAC" w:rsidTr="00261D67">
        <w:tc>
          <w:tcPr>
            <w:tcW w:w="3969" w:type="dxa"/>
          </w:tcPr>
          <w:p w:rsidR="00610BAC" w:rsidRPr="00C47DC2" w:rsidRDefault="00610BAC" w:rsidP="00610B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7D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6237" w:type="dxa"/>
          </w:tcPr>
          <w:p w:rsidR="00610BAC" w:rsidRPr="00C47DC2" w:rsidRDefault="00610BAC" w:rsidP="00610BAC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C47DC2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</w:tr>
      <w:tr w:rsidR="00610BAC" w:rsidTr="00261D67">
        <w:tc>
          <w:tcPr>
            <w:tcW w:w="3969" w:type="dxa"/>
          </w:tcPr>
          <w:p w:rsidR="00610BAC" w:rsidRPr="006E78A6" w:rsidRDefault="00610BAC" w:rsidP="0061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Забруднення поверхневих вод через неналежну організацію робіт</w:t>
            </w:r>
          </w:p>
        </w:tc>
        <w:tc>
          <w:tcPr>
            <w:tcW w:w="6237" w:type="dxa"/>
          </w:tcPr>
          <w:p w:rsidR="00610BAC" w:rsidRDefault="00610BAC" w:rsidP="0061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організації на будівельному май-</w:t>
            </w:r>
            <w:r w:rsidRPr="00E744D4">
              <w:rPr>
                <w:rFonts w:ascii="Times New Roman" w:hAnsi="Times New Roman"/>
                <w:sz w:val="28"/>
                <w:szCs w:val="28"/>
              </w:rPr>
              <w:t xml:space="preserve"> данчику</w:t>
            </w:r>
            <w:r w:rsidR="007C7C97">
              <w:rPr>
                <w:rFonts w:ascii="Times New Roman" w:hAnsi="Times New Roman"/>
                <w:sz w:val="28"/>
                <w:szCs w:val="28"/>
              </w:rPr>
              <w:t> (за його  наявності)  збирання </w:t>
            </w:r>
            <w:r>
              <w:rPr>
                <w:rFonts w:ascii="Times New Roman" w:hAnsi="Times New Roman"/>
                <w:sz w:val="28"/>
                <w:szCs w:val="28"/>
              </w:rPr>
              <w:t>та відведе</w:t>
            </w:r>
            <w:r w:rsidR="007C7C9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ння поверхневих стічних вод;</w:t>
            </w:r>
          </w:p>
          <w:p w:rsidR="00610BAC" w:rsidRPr="006E78A6" w:rsidRDefault="00610BAC" w:rsidP="00610BAC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забезпечення організації місць складування будівельної продукції (матеріалів, виробів або комплектів) таким чином, щоб уникати забруднення поверхневих та підземних вод</w:t>
            </w:r>
          </w:p>
        </w:tc>
      </w:tr>
      <w:tr w:rsidR="00610BAC" w:rsidTr="00261D67">
        <w:tc>
          <w:tcPr>
            <w:tcW w:w="3969" w:type="dxa"/>
          </w:tcPr>
          <w:p w:rsidR="00610BAC" w:rsidRPr="006E78A6" w:rsidRDefault="00610BAC" w:rsidP="0061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Зупинення надання комуналь-них послуг іншим споживачам на час виконання робіт</w:t>
            </w:r>
          </w:p>
        </w:tc>
        <w:tc>
          <w:tcPr>
            <w:tcW w:w="6237" w:type="dxa"/>
          </w:tcPr>
          <w:p w:rsidR="00610BAC" w:rsidRDefault="00610BAC" w:rsidP="0061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умови приєднання до централі</w:t>
            </w:r>
            <w:r w:rsidR="00C41E6E">
              <w:rPr>
                <w:rFonts w:ascii="Times New Roman" w:hAnsi="Times New Roman"/>
                <w:sz w:val="28"/>
                <w:szCs w:val="28"/>
              </w:rPr>
              <w:t>зованої системи водопостачання, каналізації, </w:t>
            </w:r>
            <w:r>
              <w:rPr>
                <w:rFonts w:ascii="Times New Roman" w:hAnsi="Times New Roman"/>
                <w:sz w:val="28"/>
                <w:szCs w:val="28"/>
              </w:rPr>
              <w:t>опалення, газопоста</w:t>
            </w:r>
            <w:r w:rsidR="00C41E6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ча</w:t>
            </w:r>
            <w:r w:rsidR="00C41E6E">
              <w:rPr>
                <w:rFonts w:ascii="Times New Roman" w:hAnsi="Times New Roman"/>
                <w:sz w:val="28"/>
                <w:szCs w:val="28"/>
              </w:rPr>
              <w:t>ння,  електропостачання   забезпечення  </w:t>
            </w:r>
            <w:r>
              <w:rPr>
                <w:rFonts w:ascii="Times New Roman" w:hAnsi="Times New Roman"/>
                <w:sz w:val="28"/>
                <w:szCs w:val="28"/>
              </w:rPr>
              <w:t>прове</w:t>
            </w:r>
            <w:r w:rsidR="00C41E6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дення робіт за узгодженням з надавачем послуг із залученням відповідних фахівців;</w:t>
            </w:r>
          </w:p>
          <w:p w:rsidR="00610BAC" w:rsidRPr="006E78A6" w:rsidRDefault="00610BAC" w:rsidP="00C41E6E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C41E6E">
              <w:rPr>
                <w:rFonts w:ascii="Times New Roman" w:hAnsi="Times New Roman"/>
                <w:sz w:val="28"/>
                <w:szCs w:val="28"/>
              </w:rPr>
              <w:t>у разі необхідності припинення </w:t>
            </w:r>
            <w:r>
              <w:rPr>
                <w:rFonts w:ascii="Times New Roman" w:hAnsi="Times New Roman"/>
                <w:sz w:val="28"/>
                <w:szCs w:val="28"/>
              </w:rPr>
              <w:t>надання кому</w:t>
            </w:r>
            <w:r w:rsidR="00C41E6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нальних послуг іншим споживачам забезпечення інформування таких споживачів про час і тривалість їх відключення не менш як за три дні до початку робіт</w:t>
            </w:r>
          </w:p>
        </w:tc>
      </w:tr>
      <w:tr w:rsidR="00610BAC" w:rsidTr="00261D67">
        <w:tc>
          <w:tcPr>
            <w:tcW w:w="3969" w:type="dxa"/>
          </w:tcPr>
          <w:p w:rsidR="00610BAC" w:rsidRPr="006E78A6" w:rsidRDefault="00610BAC" w:rsidP="0061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Пошкодження  об’єктів благо-устрою та зелених насаджень</w:t>
            </w:r>
          </w:p>
        </w:tc>
        <w:tc>
          <w:tcPr>
            <w:tcW w:w="6237" w:type="dxa"/>
          </w:tcPr>
          <w:p w:rsidR="00610BAC" w:rsidRDefault="00610BAC" w:rsidP="0061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Передбачення влаштування під’їзних доріг до місц</w:t>
            </w:r>
            <w:r w:rsidR="00C41E6E">
              <w:rPr>
                <w:rFonts w:ascii="Times New Roman" w:hAnsi="Times New Roman"/>
                <w:sz w:val="28"/>
                <w:szCs w:val="28"/>
              </w:rPr>
              <w:t>я  виконання  ремонтних  робіт для </w:t>
            </w:r>
            <w:r>
              <w:rPr>
                <w:rFonts w:ascii="Times New Roman" w:hAnsi="Times New Roman"/>
                <w:sz w:val="28"/>
                <w:szCs w:val="28"/>
              </w:rPr>
              <w:t>будівель</w:t>
            </w:r>
            <w:r w:rsidR="00C41E6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них машин і техніки (у разі їх використання) у спосіб, що не завдає шкоди навколишньому природному середовищу;</w:t>
            </w:r>
          </w:p>
          <w:p w:rsidR="00610BAC" w:rsidRDefault="00610BAC" w:rsidP="0061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у разі необхідності видалення дерев для проведення робіт, обов’язковим є отримання дозволу від балансоутримувача;</w:t>
            </w:r>
          </w:p>
          <w:p w:rsidR="00610BAC" w:rsidRPr="004E6457" w:rsidRDefault="00610BAC" w:rsidP="0061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у разі пошкодження об’єктів інфраструктури або елементів благоустрою на території, суміжній з будівельним майданчиком (зокрема тротуарів, асфальтового покриття, клумб, елементів огорожі, комунікацій загального користування), виконавець робіт повинен відновити зазначені об’єкти за свій кошт</w:t>
            </w:r>
          </w:p>
        </w:tc>
      </w:tr>
      <w:tr w:rsidR="00610BAC" w:rsidTr="00261D67">
        <w:tc>
          <w:tcPr>
            <w:tcW w:w="3969" w:type="dxa"/>
          </w:tcPr>
          <w:p w:rsidR="00610BAC" w:rsidRDefault="00610BAC" w:rsidP="0061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Втрата/пошкодження об’єктів культурної спадщини </w:t>
            </w:r>
          </w:p>
        </w:tc>
        <w:tc>
          <w:tcPr>
            <w:tcW w:w="6237" w:type="dxa"/>
          </w:tcPr>
          <w:p w:rsidR="00610BAC" w:rsidRPr="007C0339" w:rsidRDefault="00610BAC" w:rsidP="0061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Дотримання під час проведенн</w:t>
            </w:r>
            <w:r w:rsidR="00C41E6E">
              <w:rPr>
                <w:rFonts w:ascii="Times New Roman" w:hAnsi="Times New Roman"/>
                <w:sz w:val="28"/>
                <w:szCs w:val="28"/>
              </w:rPr>
              <w:t>я ремонтних робіт законодавства  у  </w:t>
            </w:r>
            <w:r>
              <w:rPr>
                <w:rFonts w:ascii="Times New Roman" w:hAnsi="Times New Roman"/>
                <w:sz w:val="28"/>
                <w:szCs w:val="28"/>
              </w:rPr>
              <w:t>сф</w:t>
            </w:r>
            <w:r w:rsidR="00C41E6E">
              <w:rPr>
                <w:rFonts w:ascii="Times New Roman" w:hAnsi="Times New Roman"/>
                <w:sz w:val="28"/>
                <w:szCs w:val="28"/>
              </w:rPr>
              <w:t>ері охорони культурної </w:t>
            </w:r>
            <w:r>
              <w:rPr>
                <w:rFonts w:ascii="Times New Roman" w:hAnsi="Times New Roman"/>
                <w:sz w:val="28"/>
                <w:szCs w:val="28"/>
              </w:rPr>
              <w:t>спад</w:t>
            </w:r>
            <w:r w:rsidR="00C41E6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щини</w:t>
            </w:r>
          </w:p>
        </w:tc>
      </w:tr>
      <w:tr w:rsidR="00610BAC" w:rsidTr="00261D67">
        <w:tc>
          <w:tcPr>
            <w:tcW w:w="3969" w:type="dxa"/>
          </w:tcPr>
          <w:p w:rsidR="00610BAC" w:rsidRDefault="00610BAC" w:rsidP="0061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Виявлення на об’єкті або поблизу  нього вибухонебез-печних предметів, боєприпасів (зокрема їх залишків) або інших підозрілих предметів</w:t>
            </w:r>
          </w:p>
        </w:tc>
        <w:tc>
          <w:tcPr>
            <w:tcW w:w="6237" w:type="dxa"/>
          </w:tcPr>
          <w:p w:rsidR="00610BAC" w:rsidRDefault="00610BAC" w:rsidP="0061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C0339">
              <w:rPr>
                <w:rFonts w:ascii="Times New Roman" w:hAnsi="Times New Roman"/>
                <w:sz w:val="28"/>
                <w:szCs w:val="28"/>
              </w:rPr>
              <w:t>ро</w:t>
            </w:r>
            <w:r w:rsidR="00C41E6E">
              <w:rPr>
                <w:rFonts w:ascii="Times New Roman" w:hAnsi="Times New Roman"/>
                <w:sz w:val="28"/>
                <w:szCs w:val="28"/>
              </w:rPr>
              <w:t>ведення робіт після перевірки 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7C0339">
              <w:rPr>
                <w:rFonts w:ascii="Times New Roman" w:hAnsi="Times New Roman"/>
                <w:sz w:val="28"/>
                <w:szCs w:val="28"/>
              </w:rPr>
              <w:t xml:space="preserve"> підтверджен</w:t>
            </w:r>
            <w:r w:rsidR="00C41E6E">
              <w:rPr>
                <w:rFonts w:ascii="Times New Roman" w:hAnsi="Times New Roman"/>
                <w:sz w:val="28"/>
                <w:szCs w:val="28"/>
              </w:rPr>
              <w:t>-</w:t>
            </w:r>
            <w:r w:rsidR="00AD73F0">
              <w:rPr>
                <w:rFonts w:ascii="Times New Roman" w:hAnsi="Times New Roman"/>
                <w:sz w:val="28"/>
                <w:szCs w:val="28"/>
              </w:rPr>
              <w:t>ня очищення території </w:t>
            </w:r>
            <w:r w:rsidRPr="007C0339">
              <w:rPr>
                <w:rFonts w:ascii="Times New Roman" w:hAnsi="Times New Roman"/>
                <w:sz w:val="28"/>
                <w:szCs w:val="28"/>
              </w:rPr>
              <w:t>та</w:t>
            </w:r>
            <w:r w:rsidR="00AD73F0">
              <w:rPr>
                <w:rFonts w:ascii="Times New Roman" w:hAnsi="Times New Roman"/>
                <w:sz w:val="28"/>
                <w:szCs w:val="28"/>
              </w:rPr>
              <w:t> об’єктів </w:t>
            </w:r>
            <w:r w:rsidR="00C41E6E">
              <w:rPr>
                <w:rFonts w:ascii="Times New Roman" w:hAnsi="Times New Roman"/>
                <w:sz w:val="28"/>
                <w:szCs w:val="28"/>
              </w:rPr>
              <w:t>від вибухоне</w:t>
            </w:r>
            <w:r w:rsidR="00AD73F0">
              <w:rPr>
                <w:rFonts w:ascii="Times New Roman" w:hAnsi="Times New Roman"/>
                <w:sz w:val="28"/>
                <w:szCs w:val="28"/>
              </w:rPr>
              <w:t>-</w:t>
            </w:r>
            <w:r w:rsidR="00C41E6E">
              <w:rPr>
                <w:rFonts w:ascii="Times New Roman" w:hAnsi="Times New Roman"/>
                <w:sz w:val="28"/>
                <w:szCs w:val="28"/>
              </w:rPr>
              <w:t>безпечних  предметів згідно </w:t>
            </w:r>
            <w:r w:rsidRPr="007C0339">
              <w:rPr>
                <w:rFonts w:ascii="Times New Roman" w:hAnsi="Times New Roman"/>
                <w:sz w:val="28"/>
                <w:szCs w:val="28"/>
              </w:rPr>
              <w:t>із законодавством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10BAC" w:rsidRPr="007C0339" w:rsidRDefault="00610BAC" w:rsidP="0061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C0339">
              <w:rPr>
                <w:rFonts w:ascii="Times New Roman" w:hAnsi="Times New Roman"/>
                <w:sz w:val="28"/>
                <w:szCs w:val="28"/>
              </w:rPr>
              <w:t xml:space="preserve">у разі виявлення на об’єкті або </w:t>
            </w:r>
            <w:r w:rsidR="00AD73F0">
              <w:rPr>
                <w:rFonts w:ascii="Times New Roman" w:hAnsi="Times New Roman"/>
                <w:sz w:val="28"/>
                <w:szCs w:val="28"/>
              </w:rPr>
              <w:t>поблизу нього вибухонебезпечних предметів, </w:t>
            </w:r>
            <w:r w:rsidRPr="007C0339">
              <w:rPr>
                <w:rFonts w:ascii="Times New Roman" w:hAnsi="Times New Roman"/>
                <w:sz w:val="28"/>
                <w:szCs w:val="28"/>
              </w:rPr>
              <w:t>боєприпасів (зок</w:t>
            </w:r>
            <w:r w:rsidR="00AD73F0">
              <w:rPr>
                <w:rFonts w:ascii="Times New Roman" w:hAnsi="Times New Roman"/>
                <w:sz w:val="28"/>
                <w:szCs w:val="28"/>
              </w:rPr>
              <w:t>-</w:t>
            </w:r>
            <w:r w:rsidRPr="007C0339">
              <w:rPr>
                <w:rFonts w:ascii="Times New Roman" w:hAnsi="Times New Roman"/>
                <w:sz w:val="28"/>
                <w:szCs w:val="28"/>
              </w:rPr>
              <w:t>ре</w:t>
            </w:r>
            <w:r w:rsidR="00AD73F0">
              <w:rPr>
                <w:rFonts w:ascii="Times New Roman" w:hAnsi="Times New Roman"/>
                <w:sz w:val="28"/>
                <w:szCs w:val="28"/>
              </w:rPr>
              <w:t>ма їх залишків)  або  інших   </w:t>
            </w:r>
            <w:r w:rsidRPr="007C0339">
              <w:rPr>
                <w:rFonts w:ascii="Times New Roman" w:hAnsi="Times New Roman"/>
                <w:sz w:val="28"/>
                <w:szCs w:val="28"/>
              </w:rPr>
              <w:t xml:space="preserve">підозрілих </w:t>
            </w:r>
            <w:r>
              <w:rPr>
                <w:rFonts w:ascii="Times New Roman" w:hAnsi="Times New Roman"/>
                <w:sz w:val="28"/>
                <w:szCs w:val="28"/>
              </w:rPr>
              <w:t>предметів,</w:t>
            </w:r>
            <w:r w:rsidR="00C41E6E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73F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недопущення </w:t>
            </w:r>
            <w:r w:rsidR="00C41E6E">
              <w:rPr>
                <w:rFonts w:ascii="Times New Roman" w:hAnsi="Times New Roman"/>
                <w:sz w:val="28"/>
                <w:szCs w:val="28"/>
              </w:rPr>
              <w:t> </w:t>
            </w:r>
            <w:r w:rsidR="00AD73F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їх</w:t>
            </w:r>
            <w:r w:rsidR="00AD73F0">
              <w:rPr>
                <w:rFonts w:ascii="Times New Roman" w:hAnsi="Times New Roman"/>
                <w:sz w:val="28"/>
                <w:szCs w:val="28"/>
              </w:rPr>
              <w:t> 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самостійного</w:t>
            </w:r>
            <w:r w:rsidR="00AD73F0">
              <w:rPr>
                <w:rFonts w:ascii="Times New Roman" w:hAnsi="Times New Roman"/>
                <w:sz w:val="28"/>
                <w:szCs w:val="28"/>
              </w:rPr>
              <w:t> 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73F0">
              <w:rPr>
                <w:rFonts w:ascii="Times New Roman" w:hAnsi="Times New Roman"/>
                <w:sz w:val="28"/>
                <w:szCs w:val="28"/>
              </w:rPr>
              <w:t>ви-лучення;</w:t>
            </w:r>
          </w:p>
        </w:tc>
      </w:tr>
      <w:tr w:rsidR="00AD73F0" w:rsidTr="00261D67">
        <w:tc>
          <w:tcPr>
            <w:tcW w:w="3969" w:type="dxa"/>
          </w:tcPr>
          <w:p w:rsidR="00AD73F0" w:rsidRPr="00C47DC2" w:rsidRDefault="00AD73F0" w:rsidP="00AD73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 w:colFirst="0" w:colLast="1"/>
            <w:r w:rsidRPr="00C47D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6237" w:type="dxa"/>
          </w:tcPr>
          <w:p w:rsidR="00AD73F0" w:rsidRPr="00C47DC2" w:rsidRDefault="00AD73F0" w:rsidP="00AD73F0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C47DC2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</w:tr>
      <w:bookmarkEnd w:id="0"/>
      <w:tr w:rsidR="00AD73F0" w:rsidTr="00261D67">
        <w:tc>
          <w:tcPr>
            <w:tcW w:w="3969" w:type="dxa"/>
          </w:tcPr>
          <w:p w:rsidR="00AD73F0" w:rsidRDefault="00AD73F0" w:rsidP="00610B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D73F0" w:rsidRDefault="00AD73F0" w:rsidP="0061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забезпечення  негайного   повідомлення терито-ріальним органам ДСНС та/або Національної поліції України про виявлений небезпечний предмет та здійснення заходів щодо недопущення в зону знаходження предмета сторонніх осіб до прибуття відповідних служб</w:t>
            </w:r>
          </w:p>
        </w:tc>
      </w:tr>
    </w:tbl>
    <w:p w:rsidR="00261D67" w:rsidRPr="00FA144B" w:rsidRDefault="00261D67" w:rsidP="0051469B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</w:p>
    <w:p w:rsidR="0060359D" w:rsidRDefault="0060359D" w:rsidP="006035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</w:p>
    <w:p w:rsidR="00477E37" w:rsidRDefault="00477E37" w:rsidP="00603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5904" w:rsidRDefault="00CD5904" w:rsidP="00603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144B" w:rsidRDefault="00FA144B" w:rsidP="00FA144B">
      <w:pPr>
        <w:rPr>
          <w:lang w:eastAsia="uk-UA"/>
        </w:rPr>
      </w:pPr>
    </w:p>
    <w:p w:rsidR="00FC7FD5" w:rsidRPr="00FA144B" w:rsidRDefault="00FC7FD5" w:rsidP="00FC7FD5">
      <w:pPr>
        <w:jc w:val="center"/>
        <w:rPr>
          <w:lang w:eastAsia="uk-UA"/>
        </w:rPr>
      </w:pPr>
      <w:r>
        <w:rPr>
          <w:lang w:eastAsia="uk-UA"/>
        </w:rPr>
        <w:t>_______________________________________</w:t>
      </w:r>
    </w:p>
    <w:p w:rsidR="00FA144B" w:rsidRPr="00FA144B" w:rsidRDefault="00FA144B" w:rsidP="00FA144B">
      <w:pPr>
        <w:rPr>
          <w:lang w:eastAsia="uk-UA"/>
        </w:rPr>
      </w:pPr>
    </w:p>
    <w:p w:rsidR="00FA144B" w:rsidRPr="00FA144B" w:rsidRDefault="00FA144B" w:rsidP="00FA144B">
      <w:pPr>
        <w:rPr>
          <w:lang w:eastAsia="uk-UA"/>
        </w:rPr>
      </w:pPr>
    </w:p>
    <w:p w:rsidR="00FA144B" w:rsidRPr="00FA144B" w:rsidRDefault="00FA144B" w:rsidP="00FA144B">
      <w:pPr>
        <w:rPr>
          <w:lang w:eastAsia="uk-UA"/>
        </w:rPr>
      </w:pPr>
    </w:p>
    <w:p w:rsidR="00FA144B" w:rsidRPr="00FA144B" w:rsidRDefault="00FA144B" w:rsidP="00FA144B">
      <w:pPr>
        <w:rPr>
          <w:lang w:eastAsia="uk-UA"/>
        </w:rPr>
      </w:pPr>
    </w:p>
    <w:p w:rsidR="00FA144B" w:rsidRPr="00FA144B" w:rsidRDefault="00FA144B" w:rsidP="00FA144B">
      <w:pPr>
        <w:tabs>
          <w:tab w:val="left" w:pos="6285"/>
        </w:tabs>
        <w:rPr>
          <w:lang w:eastAsia="uk-UA"/>
        </w:rPr>
      </w:pPr>
    </w:p>
    <w:sectPr w:rsidR="00FA144B" w:rsidRPr="00FA144B" w:rsidSect="0028165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FDE" w:rsidRDefault="00E25FDE" w:rsidP="00AA261E">
      <w:pPr>
        <w:spacing w:after="0" w:line="240" w:lineRule="auto"/>
      </w:pPr>
      <w:r>
        <w:separator/>
      </w:r>
    </w:p>
  </w:endnote>
  <w:endnote w:type="continuationSeparator" w:id="0">
    <w:p w:rsidR="00E25FDE" w:rsidRDefault="00E25FDE" w:rsidP="00AA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FDE" w:rsidRDefault="00E25FDE" w:rsidP="00AA261E">
      <w:pPr>
        <w:spacing w:after="0" w:line="240" w:lineRule="auto"/>
      </w:pPr>
      <w:r>
        <w:separator/>
      </w:r>
    </w:p>
  </w:footnote>
  <w:footnote w:type="continuationSeparator" w:id="0">
    <w:p w:rsidR="00E25FDE" w:rsidRDefault="00E25FDE" w:rsidP="00AA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9342231"/>
      <w:docPartObj>
        <w:docPartGallery w:val="Page Numbers (Top of Page)"/>
        <w:docPartUnique/>
      </w:docPartObj>
    </w:sdtPr>
    <w:sdtEndPr/>
    <w:sdtContent>
      <w:p w:rsidR="00BE6885" w:rsidRDefault="00BE6885">
        <w:pPr>
          <w:pStyle w:val="a8"/>
          <w:jc w:val="center"/>
        </w:pPr>
        <w:r w:rsidRPr="005F29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29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29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73F0" w:rsidRPr="00AD73F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5F29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E6885" w:rsidRPr="008C0BB7" w:rsidRDefault="00B47736" w:rsidP="00FA144B">
    <w:pPr>
      <w:pStyle w:val="a8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i/>
        <w:noProof/>
        <w:color w:val="000000" w:themeColor="text1"/>
        <w:sz w:val="24"/>
        <w:szCs w:val="24"/>
        <w:lang w:eastAsia="uk-UA"/>
      </w:rPr>
      <w:t>Продовження додатка</w:t>
    </w:r>
    <w:r w:rsidR="00C41474">
      <w:rPr>
        <w:rFonts w:ascii="Times New Roman" w:hAnsi="Times New Roman" w:cs="Times New Roman"/>
        <w:i/>
        <w:noProof/>
        <w:color w:val="000000" w:themeColor="text1"/>
        <w:sz w:val="24"/>
        <w:szCs w:val="24"/>
        <w:lang w:eastAsia="uk-UA"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65B8"/>
    <w:multiLevelType w:val="hybridMultilevel"/>
    <w:tmpl w:val="348A1F54"/>
    <w:lvl w:ilvl="0" w:tplc="AF4A2CB2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D2475"/>
    <w:multiLevelType w:val="hybridMultilevel"/>
    <w:tmpl w:val="936C196E"/>
    <w:lvl w:ilvl="0" w:tplc="25B4F6AA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75563"/>
    <w:multiLevelType w:val="hybridMultilevel"/>
    <w:tmpl w:val="313078F6"/>
    <w:lvl w:ilvl="0" w:tplc="6BE6CFF2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35DAE"/>
    <w:multiLevelType w:val="hybridMultilevel"/>
    <w:tmpl w:val="4A04D79E"/>
    <w:lvl w:ilvl="0" w:tplc="603A15DE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E58C4"/>
    <w:multiLevelType w:val="hybridMultilevel"/>
    <w:tmpl w:val="FF807088"/>
    <w:lvl w:ilvl="0" w:tplc="74E85660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DD"/>
    <w:rsid w:val="00001EB5"/>
    <w:rsid w:val="00002D69"/>
    <w:rsid w:val="0000509F"/>
    <w:rsid w:val="00011946"/>
    <w:rsid w:val="000330BA"/>
    <w:rsid w:val="000467F6"/>
    <w:rsid w:val="00052B8A"/>
    <w:rsid w:val="00054218"/>
    <w:rsid w:val="00064790"/>
    <w:rsid w:val="000708C7"/>
    <w:rsid w:val="00070C3C"/>
    <w:rsid w:val="00072A8A"/>
    <w:rsid w:val="00095CFA"/>
    <w:rsid w:val="000C6FC3"/>
    <w:rsid w:val="000D1A49"/>
    <w:rsid w:val="000D3383"/>
    <w:rsid w:val="000D4BD3"/>
    <w:rsid w:val="000D7992"/>
    <w:rsid w:val="000E13C1"/>
    <w:rsid w:val="00101A34"/>
    <w:rsid w:val="00102A93"/>
    <w:rsid w:val="001106FA"/>
    <w:rsid w:val="00120C84"/>
    <w:rsid w:val="00140B89"/>
    <w:rsid w:val="00151E6B"/>
    <w:rsid w:val="00155FE8"/>
    <w:rsid w:val="00157058"/>
    <w:rsid w:val="0015779B"/>
    <w:rsid w:val="00166F6D"/>
    <w:rsid w:val="00171341"/>
    <w:rsid w:val="00175336"/>
    <w:rsid w:val="00190013"/>
    <w:rsid w:val="001961B3"/>
    <w:rsid w:val="001A7F7D"/>
    <w:rsid w:val="001B7BB0"/>
    <w:rsid w:val="001C181D"/>
    <w:rsid w:val="001D460E"/>
    <w:rsid w:val="001D55E3"/>
    <w:rsid w:val="001E1083"/>
    <w:rsid w:val="001E3FC2"/>
    <w:rsid w:val="001F0B31"/>
    <w:rsid w:val="001F2B52"/>
    <w:rsid w:val="00201DF3"/>
    <w:rsid w:val="002122F6"/>
    <w:rsid w:val="00212F50"/>
    <w:rsid w:val="00226BAB"/>
    <w:rsid w:val="00251224"/>
    <w:rsid w:val="00261D67"/>
    <w:rsid w:val="00262695"/>
    <w:rsid w:val="00263757"/>
    <w:rsid w:val="002715CE"/>
    <w:rsid w:val="002740BE"/>
    <w:rsid w:val="002747C7"/>
    <w:rsid w:val="00281653"/>
    <w:rsid w:val="002B301E"/>
    <w:rsid w:val="002D5528"/>
    <w:rsid w:val="002E6D25"/>
    <w:rsid w:val="002E7C46"/>
    <w:rsid w:val="00305261"/>
    <w:rsid w:val="003057E8"/>
    <w:rsid w:val="00314A26"/>
    <w:rsid w:val="003154D0"/>
    <w:rsid w:val="003276E0"/>
    <w:rsid w:val="00332661"/>
    <w:rsid w:val="0034157A"/>
    <w:rsid w:val="00351787"/>
    <w:rsid w:val="003532ED"/>
    <w:rsid w:val="00353AFD"/>
    <w:rsid w:val="003562F2"/>
    <w:rsid w:val="00367019"/>
    <w:rsid w:val="00367981"/>
    <w:rsid w:val="003744EB"/>
    <w:rsid w:val="00396A7C"/>
    <w:rsid w:val="003D307D"/>
    <w:rsid w:val="003E29F8"/>
    <w:rsid w:val="003F594C"/>
    <w:rsid w:val="003F5B42"/>
    <w:rsid w:val="003F66DE"/>
    <w:rsid w:val="00402177"/>
    <w:rsid w:val="00404297"/>
    <w:rsid w:val="004043D1"/>
    <w:rsid w:val="00407CD7"/>
    <w:rsid w:val="00412FA1"/>
    <w:rsid w:val="004300C6"/>
    <w:rsid w:val="004442E4"/>
    <w:rsid w:val="0046330F"/>
    <w:rsid w:val="00465FCB"/>
    <w:rsid w:val="00471330"/>
    <w:rsid w:val="0047268A"/>
    <w:rsid w:val="004741ED"/>
    <w:rsid w:val="00477E37"/>
    <w:rsid w:val="004934AA"/>
    <w:rsid w:val="004941FD"/>
    <w:rsid w:val="004A27A7"/>
    <w:rsid w:val="004A3EA0"/>
    <w:rsid w:val="004A4FAA"/>
    <w:rsid w:val="004A6F34"/>
    <w:rsid w:val="004B1D1C"/>
    <w:rsid w:val="004B3920"/>
    <w:rsid w:val="004C4998"/>
    <w:rsid w:val="004C7B58"/>
    <w:rsid w:val="004C7B7B"/>
    <w:rsid w:val="004D3D8D"/>
    <w:rsid w:val="004E2440"/>
    <w:rsid w:val="004E6457"/>
    <w:rsid w:val="004E758C"/>
    <w:rsid w:val="005111EE"/>
    <w:rsid w:val="0051469B"/>
    <w:rsid w:val="00532F5C"/>
    <w:rsid w:val="00546341"/>
    <w:rsid w:val="00550C88"/>
    <w:rsid w:val="0055100F"/>
    <w:rsid w:val="00557361"/>
    <w:rsid w:val="00565309"/>
    <w:rsid w:val="005735B8"/>
    <w:rsid w:val="00580401"/>
    <w:rsid w:val="005839EF"/>
    <w:rsid w:val="00583FBF"/>
    <w:rsid w:val="00596B60"/>
    <w:rsid w:val="005A27FB"/>
    <w:rsid w:val="005A2E37"/>
    <w:rsid w:val="005B7ECF"/>
    <w:rsid w:val="005D0414"/>
    <w:rsid w:val="005D270B"/>
    <w:rsid w:val="005E74E4"/>
    <w:rsid w:val="005F296B"/>
    <w:rsid w:val="0060359D"/>
    <w:rsid w:val="00604896"/>
    <w:rsid w:val="00610BAC"/>
    <w:rsid w:val="00637985"/>
    <w:rsid w:val="00643DBC"/>
    <w:rsid w:val="00647792"/>
    <w:rsid w:val="00647FC8"/>
    <w:rsid w:val="006500CD"/>
    <w:rsid w:val="0065029D"/>
    <w:rsid w:val="00656222"/>
    <w:rsid w:val="00657D8D"/>
    <w:rsid w:val="006653C2"/>
    <w:rsid w:val="00667940"/>
    <w:rsid w:val="00674881"/>
    <w:rsid w:val="00680ABC"/>
    <w:rsid w:val="00680B0D"/>
    <w:rsid w:val="00683F90"/>
    <w:rsid w:val="00684967"/>
    <w:rsid w:val="006B193F"/>
    <w:rsid w:val="006B531E"/>
    <w:rsid w:val="006C2FD7"/>
    <w:rsid w:val="006C49C6"/>
    <w:rsid w:val="006E78A6"/>
    <w:rsid w:val="00706AED"/>
    <w:rsid w:val="00723F63"/>
    <w:rsid w:val="0073765F"/>
    <w:rsid w:val="00742CCC"/>
    <w:rsid w:val="007435A5"/>
    <w:rsid w:val="0074468F"/>
    <w:rsid w:val="00750446"/>
    <w:rsid w:val="0075600D"/>
    <w:rsid w:val="00756E2C"/>
    <w:rsid w:val="007653BE"/>
    <w:rsid w:val="00781318"/>
    <w:rsid w:val="00790D79"/>
    <w:rsid w:val="0079795C"/>
    <w:rsid w:val="007A68A8"/>
    <w:rsid w:val="007B4D43"/>
    <w:rsid w:val="007C0339"/>
    <w:rsid w:val="007C4E45"/>
    <w:rsid w:val="007C5475"/>
    <w:rsid w:val="007C5F30"/>
    <w:rsid w:val="007C7C97"/>
    <w:rsid w:val="007D72B6"/>
    <w:rsid w:val="007E07F5"/>
    <w:rsid w:val="00814DDD"/>
    <w:rsid w:val="00821E3E"/>
    <w:rsid w:val="00832819"/>
    <w:rsid w:val="008620AA"/>
    <w:rsid w:val="008656A3"/>
    <w:rsid w:val="008727A1"/>
    <w:rsid w:val="00886858"/>
    <w:rsid w:val="008B0456"/>
    <w:rsid w:val="008B2545"/>
    <w:rsid w:val="008B539C"/>
    <w:rsid w:val="008C0BB7"/>
    <w:rsid w:val="008C276E"/>
    <w:rsid w:val="008C55EF"/>
    <w:rsid w:val="008D0619"/>
    <w:rsid w:val="008D0C8A"/>
    <w:rsid w:val="008E3185"/>
    <w:rsid w:val="009023B0"/>
    <w:rsid w:val="0091224F"/>
    <w:rsid w:val="00917103"/>
    <w:rsid w:val="009214B8"/>
    <w:rsid w:val="00927DAC"/>
    <w:rsid w:val="0093489F"/>
    <w:rsid w:val="0095372F"/>
    <w:rsid w:val="00956052"/>
    <w:rsid w:val="00957E0B"/>
    <w:rsid w:val="00961812"/>
    <w:rsid w:val="00963365"/>
    <w:rsid w:val="00972B49"/>
    <w:rsid w:val="00994244"/>
    <w:rsid w:val="009A5E7F"/>
    <w:rsid w:val="009B2BE8"/>
    <w:rsid w:val="009B3501"/>
    <w:rsid w:val="009D473B"/>
    <w:rsid w:val="009F50CA"/>
    <w:rsid w:val="009F64A6"/>
    <w:rsid w:val="00A10D40"/>
    <w:rsid w:val="00A3249E"/>
    <w:rsid w:val="00A33F9D"/>
    <w:rsid w:val="00A41F38"/>
    <w:rsid w:val="00A438C9"/>
    <w:rsid w:val="00A46C5B"/>
    <w:rsid w:val="00A50475"/>
    <w:rsid w:val="00A54201"/>
    <w:rsid w:val="00A82EBA"/>
    <w:rsid w:val="00A94501"/>
    <w:rsid w:val="00AA261E"/>
    <w:rsid w:val="00AA40E3"/>
    <w:rsid w:val="00AA6076"/>
    <w:rsid w:val="00AB248B"/>
    <w:rsid w:val="00AC3309"/>
    <w:rsid w:val="00AC3492"/>
    <w:rsid w:val="00AD11F3"/>
    <w:rsid w:val="00AD5550"/>
    <w:rsid w:val="00AD73F0"/>
    <w:rsid w:val="00AE3B22"/>
    <w:rsid w:val="00AF12A7"/>
    <w:rsid w:val="00B04A3D"/>
    <w:rsid w:val="00B124C3"/>
    <w:rsid w:val="00B12F38"/>
    <w:rsid w:val="00B13601"/>
    <w:rsid w:val="00B17885"/>
    <w:rsid w:val="00B20DF0"/>
    <w:rsid w:val="00B30A53"/>
    <w:rsid w:val="00B31342"/>
    <w:rsid w:val="00B31FDB"/>
    <w:rsid w:val="00B45898"/>
    <w:rsid w:val="00B46543"/>
    <w:rsid w:val="00B47736"/>
    <w:rsid w:val="00B47C7E"/>
    <w:rsid w:val="00B519CF"/>
    <w:rsid w:val="00B5300E"/>
    <w:rsid w:val="00B572F8"/>
    <w:rsid w:val="00B62C0E"/>
    <w:rsid w:val="00B63B7E"/>
    <w:rsid w:val="00B6415E"/>
    <w:rsid w:val="00B74848"/>
    <w:rsid w:val="00B82AF4"/>
    <w:rsid w:val="00B90396"/>
    <w:rsid w:val="00B91CF1"/>
    <w:rsid w:val="00B95B02"/>
    <w:rsid w:val="00BB7194"/>
    <w:rsid w:val="00BC19D7"/>
    <w:rsid w:val="00BC340C"/>
    <w:rsid w:val="00BD6CE7"/>
    <w:rsid w:val="00BE6885"/>
    <w:rsid w:val="00BF029D"/>
    <w:rsid w:val="00BF41BC"/>
    <w:rsid w:val="00BF689A"/>
    <w:rsid w:val="00C03B05"/>
    <w:rsid w:val="00C11099"/>
    <w:rsid w:val="00C110D2"/>
    <w:rsid w:val="00C301EA"/>
    <w:rsid w:val="00C40C27"/>
    <w:rsid w:val="00C41474"/>
    <w:rsid w:val="00C41E6E"/>
    <w:rsid w:val="00C46856"/>
    <w:rsid w:val="00C47DC2"/>
    <w:rsid w:val="00C83E5C"/>
    <w:rsid w:val="00C8626B"/>
    <w:rsid w:val="00C905A7"/>
    <w:rsid w:val="00CA07C8"/>
    <w:rsid w:val="00CA25C4"/>
    <w:rsid w:val="00CA4386"/>
    <w:rsid w:val="00CA588D"/>
    <w:rsid w:val="00CB0AE0"/>
    <w:rsid w:val="00CB4129"/>
    <w:rsid w:val="00CC4468"/>
    <w:rsid w:val="00CC52E7"/>
    <w:rsid w:val="00CC6B47"/>
    <w:rsid w:val="00CD37B5"/>
    <w:rsid w:val="00CD5904"/>
    <w:rsid w:val="00CD60C1"/>
    <w:rsid w:val="00CE35AF"/>
    <w:rsid w:val="00CF0D6A"/>
    <w:rsid w:val="00D04386"/>
    <w:rsid w:val="00D072F5"/>
    <w:rsid w:val="00D122A6"/>
    <w:rsid w:val="00D212B7"/>
    <w:rsid w:val="00D22E62"/>
    <w:rsid w:val="00D277CB"/>
    <w:rsid w:val="00D27D8C"/>
    <w:rsid w:val="00D313D8"/>
    <w:rsid w:val="00D3742D"/>
    <w:rsid w:val="00D472EF"/>
    <w:rsid w:val="00D51EB7"/>
    <w:rsid w:val="00D55E99"/>
    <w:rsid w:val="00D646A9"/>
    <w:rsid w:val="00D64D1E"/>
    <w:rsid w:val="00D71DA0"/>
    <w:rsid w:val="00D740B2"/>
    <w:rsid w:val="00D77445"/>
    <w:rsid w:val="00D80F1A"/>
    <w:rsid w:val="00D83E15"/>
    <w:rsid w:val="00D93600"/>
    <w:rsid w:val="00DA12AD"/>
    <w:rsid w:val="00DA293B"/>
    <w:rsid w:val="00DA494D"/>
    <w:rsid w:val="00DA701A"/>
    <w:rsid w:val="00DB09DA"/>
    <w:rsid w:val="00DC15D2"/>
    <w:rsid w:val="00DC1D28"/>
    <w:rsid w:val="00DC2D0C"/>
    <w:rsid w:val="00DC4206"/>
    <w:rsid w:val="00DD66C2"/>
    <w:rsid w:val="00DE15F1"/>
    <w:rsid w:val="00DE594E"/>
    <w:rsid w:val="00DF4D52"/>
    <w:rsid w:val="00E0359A"/>
    <w:rsid w:val="00E04FCC"/>
    <w:rsid w:val="00E207A4"/>
    <w:rsid w:val="00E22F99"/>
    <w:rsid w:val="00E25FDE"/>
    <w:rsid w:val="00E30A52"/>
    <w:rsid w:val="00E40AC5"/>
    <w:rsid w:val="00E45159"/>
    <w:rsid w:val="00E5635F"/>
    <w:rsid w:val="00E61E3A"/>
    <w:rsid w:val="00E6364C"/>
    <w:rsid w:val="00E70148"/>
    <w:rsid w:val="00E70AF7"/>
    <w:rsid w:val="00E73AF2"/>
    <w:rsid w:val="00E744D4"/>
    <w:rsid w:val="00E8517C"/>
    <w:rsid w:val="00E879DD"/>
    <w:rsid w:val="00E91B7F"/>
    <w:rsid w:val="00EA4C35"/>
    <w:rsid w:val="00EB038E"/>
    <w:rsid w:val="00EB2C33"/>
    <w:rsid w:val="00EB3392"/>
    <w:rsid w:val="00EB7D74"/>
    <w:rsid w:val="00EC0A9D"/>
    <w:rsid w:val="00EC2ACF"/>
    <w:rsid w:val="00ED0A92"/>
    <w:rsid w:val="00ED5F50"/>
    <w:rsid w:val="00EE102A"/>
    <w:rsid w:val="00EE1BBB"/>
    <w:rsid w:val="00EE2238"/>
    <w:rsid w:val="00EE297B"/>
    <w:rsid w:val="00EF2AA2"/>
    <w:rsid w:val="00F02C8F"/>
    <w:rsid w:val="00F04D55"/>
    <w:rsid w:val="00F30DA0"/>
    <w:rsid w:val="00F31F0E"/>
    <w:rsid w:val="00F331DD"/>
    <w:rsid w:val="00F34196"/>
    <w:rsid w:val="00F37D24"/>
    <w:rsid w:val="00F663B1"/>
    <w:rsid w:val="00F80961"/>
    <w:rsid w:val="00F90001"/>
    <w:rsid w:val="00F9366D"/>
    <w:rsid w:val="00FA02FD"/>
    <w:rsid w:val="00FA144B"/>
    <w:rsid w:val="00FA2076"/>
    <w:rsid w:val="00FA4865"/>
    <w:rsid w:val="00FB2781"/>
    <w:rsid w:val="00FC3197"/>
    <w:rsid w:val="00FC7FD5"/>
    <w:rsid w:val="00FD1E02"/>
    <w:rsid w:val="00FE3088"/>
    <w:rsid w:val="00FE4D29"/>
    <w:rsid w:val="00FE6666"/>
    <w:rsid w:val="00FF3071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A0C52"/>
  <w15:docId w15:val="{6AD4FCE3-8C34-47A2-A5F4-4C525741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0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0A92"/>
    <w:rPr>
      <w:color w:val="800080" w:themeColor="followedHyperlink"/>
      <w:u w:val="single"/>
    </w:rPr>
  </w:style>
  <w:style w:type="paragraph" w:customStyle="1" w:styleId="rvps2">
    <w:name w:val="rvps2"/>
    <w:basedOn w:val="a"/>
    <w:rsid w:val="00EE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9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501"/>
    <w:rPr>
      <w:rFonts w:ascii="Tahoma" w:hAnsi="Tahoma" w:cs="Tahoma"/>
      <w:sz w:val="16"/>
      <w:szCs w:val="16"/>
    </w:rPr>
  </w:style>
  <w:style w:type="paragraph" w:customStyle="1" w:styleId="a7">
    <w:name w:val="Нормальний текст"/>
    <w:basedOn w:val="a"/>
    <w:uiPriority w:val="99"/>
    <w:rsid w:val="00AA261E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A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261E"/>
  </w:style>
  <w:style w:type="paragraph" w:styleId="aa">
    <w:name w:val="footer"/>
    <w:basedOn w:val="a"/>
    <w:link w:val="ab"/>
    <w:uiPriority w:val="99"/>
    <w:unhideWhenUsed/>
    <w:rsid w:val="00AA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261E"/>
  </w:style>
  <w:style w:type="paragraph" w:customStyle="1" w:styleId="ac">
    <w:name w:val="Назва документа"/>
    <w:basedOn w:val="a"/>
    <w:next w:val="a7"/>
    <w:rsid w:val="00F02C8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table" w:styleId="ad">
    <w:name w:val="Table Grid"/>
    <w:basedOn w:val="a1"/>
    <w:uiPriority w:val="59"/>
    <w:rsid w:val="0051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9360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9360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9360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360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93600"/>
    <w:rPr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261D67"/>
    <w:pPr>
      <w:ind w:left="720"/>
      <w:contextualSpacing/>
    </w:pPr>
  </w:style>
  <w:style w:type="paragraph" w:customStyle="1" w:styleId="af4">
    <w:name w:val="Глава документу"/>
    <w:basedOn w:val="a"/>
    <w:next w:val="a"/>
    <w:rsid w:val="00353AFD"/>
    <w:pPr>
      <w:keepNext/>
      <w:keepLines/>
      <w:spacing w:before="120" w:after="120" w:line="240" w:lineRule="auto"/>
      <w:jc w:val="center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8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D35CD-55BD-43E8-9DCA-1993B0B0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Pages>1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ugkx446_02</dc:creator>
  <cp:lastModifiedBy>ugkx441</cp:lastModifiedBy>
  <cp:revision>186</cp:revision>
  <cp:lastPrinted>2023-06-12T10:53:00Z</cp:lastPrinted>
  <dcterms:created xsi:type="dcterms:W3CDTF">2022-04-05T06:51:00Z</dcterms:created>
  <dcterms:modified xsi:type="dcterms:W3CDTF">2023-08-30T10:57:00Z</dcterms:modified>
</cp:coreProperties>
</file>