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C637D5" w:rsidRPr="00B97A09" w:rsidRDefault="00C637D5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28.07.2023 №2093</w:t>
      </w:r>
    </w:p>
    <w:p w:rsidR="00863B5A" w:rsidRDefault="00863B5A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</w:p>
    <w:p w:rsidR="008F1B31" w:rsidRDefault="008F1B3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0" w:name="_GoBack"/>
      <w:bookmarkEnd w:id="0"/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BA0053" w:rsidRPr="00443474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528"/>
      </w:tblGrid>
      <w:tr w:rsidR="0053154F" w:rsidTr="008F1B31">
        <w:tc>
          <w:tcPr>
            <w:tcW w:w="675" w:type="dxa"/>
          </w:tcPr>
          <w:p w:rsidR="00CF3BA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№ </w:t>
            </w:r>
          </w:p>
          <w:p w:rsidR="0053154F" w:rsidRPr="00505C9F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п/</w:t>
            </w:r>
            <w:r w:rsidR="00CF3BAF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422FE4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 w:rsidR="00D401E9">
              <w:rPr>
                <w:sz w:val="24"/>
                <w:szCs w:val="24"/>
              </w:rPr>
              <w:t xml:space="preserve">, </w:t>
            </w:r>
            <w:r w:rsidR="00422FE4">
              <w:rPr>
                <w:sz w:val="24"/>
                <w:szCs w:val="24"/>
              </w:rPr>
              <w:t xml:space="preserve">адреса та вид </w:t>
            </w:r>
          </w:p>
          <w:p w:rsidR="00D93D89" w:rsidRDefault="004F1BB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цільового  призначення</w:t>
            </w:r>
            <w:r w:rsidR="00422FE4">
              <w:rPr>
                <w:sz w:val="24"/>
                <w:szCs w:val="24"/>
              </w:rPr>
              <w:t xml:space="preserve"> земельної ділянки</w:t>
            </w:r>
            <w:r w:rsidR="00D93D89">
              <w:rPr>
                <w:sz w:val="24"/>
                <w:szCs w:val="24"/>
              </w:rPr>
              <w:t xml:space="preserve">, </w:t>
            </w:r>
          </w:p>
          <w:p w:rsidR="0053154F" w:rsidRPr="00505C9F" w:rsidRDefault="00D93D8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</w:t>
            </w:r>
          </w:p>
        </w:tc>
        <w:tc>
          <w:tcPr>
            <w:tcW w:w="226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52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B14E2E" w:rsidTr="008F1B31">
        <w:trPr>
          <w:trHeight w:val="274"/>
        </w:trPr>
        <w:tc>
          <w:tcPr>
            <w:tcW w:w="675" w:type="dxa"/>
          </w:tcPr>
          <w:p w:rsidR="000A33CD" w:rsidRPr="000A33CD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A33CD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0A33CD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0A33CD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0A33CD" w:rsidRPr="000A33CD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A33CD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B307A" w:rsidRPr="001668E5" w:rsidTr="008F1B31">
        <w:trPr>
          <w:trHeight w:val="1982"/>
        </w:trPr>
        <w:tc>
          <w:tcPr>
            <w:tcW w:w="675" w:type="dxa"/>
          </w:tcPr>
          <w:p w:rsidR="008B307A" w:rsidRPr="00465651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  <w:lang w:val="ru-RU"/>
              </w:rPr>
            </w:pPr>
            <w:r w:rsidRPr="00465651">
              <w:rPr>
                <w:b w:val="0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7F311F" w:rsidRPr="007F311F" w:rsidRDefault="007F311F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Громадянка</w:t>
            </w:r>
          </w:p>
          <w:p w:rsidR="007F311F" w:rsidRPr="007F311F" w:rsidRDefault="007F311F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Швидка</w:t>
            </w:r>
          </w:p>
          <w:p w:rsidR="007F311F" w:rsidRPr="007F311F" w:rsidRDefault="007F311F" w:rsidP="007F3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Дар’я</w:t>
            </w:r>
          </w:p>
          <w:p w:rsidR="00B83F4E" w:rsidRPr="000177BC" w:rsidRDefault="007F311F" w:rsidP="007F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977" w:type="dxa"/>
          </w:tcPr>
          <w:p w:rsidR="00434594" w:rsidRPr="00614F11" w:rsidRDefault="00434594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Адміністративна </w:t>
            </w:r>
          </w:p>
          <w:p w:rsidR="00434594" w:rsidRPr="00A503E3" w:rsidRDefault="00FF282D" w:rsidP="00434594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r w:rsidR="00434594" w:rsidRPr="00614F11">
              <w:rPr>
                <w:rFonts w:eastAsiaTheme="minorEastAsia"/>
                <w:bCs/>
                <w:iCs/>
                <w:color w:val="000000"/>
              </w:rPr>
              <w:t>послуга №03-1</w:t>
            </w:r>
            <w:r w:rsidR="00A503E3">
              <w:rPr>
                <w:rFonts w:eastAsiaTheme="minorEastAsia"/>
                <w:bCs/>
                <w:iCs/>
                <w:color w:val="000000"/>
                <w:lang w:val="uk-UA"/>
              </w:rPr>
              <w:t>5</w:t>
            </w:r>
          </w:p>
          <w:p w:rsidR="00A503E3" w:rsidRDefault="00434594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614F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A503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Про затвердження проекту землеустрою щодо </w:t>
            </w:r>
          </w:p>
          <w:p w:rsidR="00A503E3" w:rsidRDefault="00A503E3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відведення земельної </w:t>
            </w:r>
          </w:p>
          <w:p w:rsidR="008369A7" w:rsidRPr="004A44F5" w:rsidRDefault="00A503E3" w:rsidP="00434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ділянки</w:t>
            </w:r>
            <w:r w:rsidR="0043459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  <w:r w:rsidR="004A44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,</w:t>
            </w:r>
          </w:p>
          <w:p w:rsidR="00FA2450" w:rsidRDefault="004D1FFF" w:rsidP="008369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4656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FD7045" w:rsidRDefault="007F311F" w:rsidP="007F311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Святоандріївській</w:t>
            </w: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F311F" w:rsidRPr="00CC3501" w:rsidRDefault="007F311F" w:rsidP="007F311F">
            <w:pPr>
              <w:ind w:left="-108" w:right="-108"/>
              <w:jc w:val="center"/>
              <w:rPr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 будинку 11</w:t>
            </w:r>
          </w:p>
          <w:p w:rsidR="007F311F" w:rsidRPr="00C8532C" w:rsidRDefault="00D93D89" w:rsidP="007F311F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7F311F">
              <w:rPr>
                <w:b w:val="0"/>
                <w:i w:val="0"/>
                <w:sz w:val="24"/>
                <w:szCs w:val="24"/>
              </w:rPr>
              <w:t>в</w:t>
            </w:r>
            <w:r w:rsidR="00CE7814" w:rsidRPr="007F311F">
              <w:rPr>
                <w:b w:val="0"/>
                <w:i w:val="0"/>
                <w:sz w:val="24"/>
                <w:szCs w:val="24"/>
              </w:rPr>
              <w:t xml:space="preserve"> Покровському районі</w:t>
            </w:r>
            <w:r w:rsidR="00773547" w:rsidRPr="007F311F">
              <w:rPr>
                <w:b w:val="0"/>
                <w:i w:val="0"/>
                <w:sz w:val="24"/>
                <w:szCs w:val="24"/>
              </w:rPr>
              <w:t>,</w:t>
            </w:r>
            <w:r w:rsidR="00773547">
              <w:rPr>
                <w:sz w:val="24"/>
                <w:szCs w:val="24"/>
              </w:rPr>
              <w:t xml:space="preserve"> </w:t>
            </w:r>
            <w:r w:rsidR="007F311F" w:rsidRPr="00C8532C">
              <w:rPr>
                <w:b w:val="0"/>
                <w:i w:val="0"/>
                <w:sz w:val="24"/>
                <w:szCs w:val="23"/>
              </w:rPr>
              <w:t xml:space="preserve"> </w:t>
            </w:r>
            <w:r w:rsidR="007F311F">
              <w:rPr>
                <w:b w:val="0"/>
                <w:i w:val="0"/>
                <w:sz w:val="24"/>
                <w:szCs w:val="23"/>
              </w:rPr>
              <w:t>д</w:t>
            </w:r>
            <w:r w:rsidR="007F311F" w:rsidRPr="00C8532C">
              <w:rPr>
                <w:b w:val="0"/>
                <w:i w:val="0"/>
                <w:sz w:val="24"/>
                <w:szCs w:val="23"/>
              </w:rPr>
              <w:t>ля будівництва та обслуговування житлового будинку, господарських  будівель і споруд</w:t>
            </w:r>
          </w:p>
          <w:p w:rsidR="00E13540" w:rsidRPr="007F311F" w:rsidRDefault="007F311F" w:rsidP="007F311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3"/>
              </w:rPr>
              <w:t>(присадибна ділянка)</w:t>
            </w:r>
            <w:r w:rsidR="00E13540" w:rsidRPr="007F311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401E9" w:rsidRPr="00465651" w:rsidRDefault="007F311F" w:rsidP="008F1B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1211000000:04:184:0034</w:t>
            </w:r>
            <w:r w:rsidRPr="007F3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307A" w:rsidRPr="00465651" w:rsidRDefault="00465651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51">
              <w:rPr>
                <w:rFonts w:ascii="Times New Roman" w:hAnsi="Times New Roman" w:cs="Times New Roman"/>
                <w:sz w:val="24"/>
                <w:szCs w:val="24"/>
              </w:rPr>
              <w:t xml:space="preserve">Невідповідність наданого пакета документів вимогам чинного законодавства </w:t>
            </w:r>
          </w:p>
        </w:tc>
        <w:tc>
          <w:tcPr>
            <w:tcW w:w="1559" w:type="dxa"/>
          </w:tcPr>
          <w:p w:rsidR="008B307A" w:rsidRPr="00465651" w:rsidRDefault="00B919D8" w:rsidP="00D93D8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E710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оштою </w:t>
            </w:r>
          </w:p>
        </w:tc>
        <w:tc>
          <w:tcPr>
            <w:tcW w:w="5528" w:type="dxa"/>
          </w:tcPr>
          <w:p w:rsidR="007F311F" w:rsidRDefault="007F311F" w:rsidP="00A503E3">
            <w:pPr>
              <w:pStyle w:val="Style6"/>
              <w:ind w:firstLine="34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 w:rsidR="004A44F5">
              <w:rPr>
                <w:lang w:val="uk-UA"/>
              </w:rPr>
              <w:t>У</w:t>
            </w:r>
            <w:r w:rsidRPr="00CB5673">
              <w:rPr>
                <w:lang w:val="uk-UA"/>
              </w:rPr>
              <w:t>супереч вимогам ст. 198 Земельного кодексу України в документації із землеустрою відсутнє погодження меж земельної ділянки суміжним землекористувач</w:t>
            </w:r>
            <w:r>
              <w:rPr>
                <w:lang w:val="uk-UA"/>
              </w:rPr>
              <w:t>ем</w:t>
            </w:r>
            <w:r w:rsidRPr="00CB5673">
              <w:rPr>
                <w:lang w:val="uk-UA"/>
              </w:rPr>
              <w:t>.</w:t>
            </w:r>
          </w:p>
          <w:p w:rsidR="00A503E3" w:rsidRPr="00A503E3" w:rsidRDefault="00A503E3" w:rsidP="00A503E3">
            <w:pPr>
              <w:pStyle w:val="Style6"/>
              <w:ind w:firstLine="34"/>
              <w:jc w:val="both"/>
              <w:rPr>
                <w:lang w:val="uk-UA"/>
              </w:rPr>
            </w:pPr>
            <w:r w:rsidRPr="00A503E3">
              <w:rPr>
                <w:lang w:val="uk-UA"/>
              </w:rPr>
              <w:t>2.  Відповідно до ст. 28 Закону</w:t>
            </w:r>
            <w:r w:rsidRPr="00A503E3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</w:p>
          <w:p w:rsidR="00294916" w:rsidRPr="008F1B31" w:rsidRDefault="00294916" w:rsidP="008F1B31">
            <w:pPr>
              <w:pStyle w:val="Style6"/>
              <w:jc w:val="both"/>
              <w:rPr>
                <w:i/>
                <w:lang w:val="uk-UA"/>
              </w:rPr>
            </w:pPr>
          </w:p>
        </w:tc>
      </w:tr>
      <w:tr w:rsidR="00C12CD3" w:rsidRPr="008F1B31" w:rsidTr="008F1B31">
        <w:trPr>
          <w:trHeight w:val="556"/>
        </w:trPr>
        <w:tc>
          <w:tcPr>
            <w:tcW w:w="675" w:type="dxa"/>
          </w:tcPr>
          <w:p w:rsidR="00C12CD3" w:rsidRPr="00BD7A40" w:rsidRDefault="00C12CD3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BD7A4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12CD3" w:rsidRDefault="00C12CD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</w:t>
            </w:r>
          </w:p>
          <w:p w:rsidR="00C12CD3" w:rsidRDefault="00C12CD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Васько</w:t>
            </w:r>
          </w:p>
          <w:p w:rsidR="00C12CD3" w:rsidRDefault="00C12CD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</w:t>
            </w:r>
          </w:p>
          <w:p w:rsidR="00C12CD3" w:rsidRPr="00BD7A40" w:rsidRDefault="00C12CD3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2977" w:type="dxa"/>
          </w:tcPr>
          <w:p w:rsidR="00C12CD3" w:rsidRPr="00A93DB6" w:rsidRDefault="00C12CD3" w:rsidP="00C12C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C12CD3" w:rsidRPr="00A93DB6" w:rsidRDefault="00C12CD3" w:rsidP="00C12CD3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A93DB6">
              <w:rPr>
                <w:lang w:val="uk-UA"/>
              </w:rPr>
              <w:t xml:space="preserve">послуга </w:t>
            </w:r>
            <w:r w:rsidRPr="00A93DB6">
              <w:rPr>
                <w:b/>
                <w:bCs/>
              </w:rPr>
              <w:t xml:space="preserve"> </w:t>
            </w:r>
            <w:r w:rsidRPr="00A93DB6">
              <w:rPr>
                <w:bCs/>
              </w:rPr>
              <w:t>№03-</w:t>
            </w:r>
            <w:r w:rsidRPr="00A93DB6">
              <w:rPr>
                <w:bCs/>
                <w:lang w:val="uk-UA"/>
              </w:rPr>
              <w:t>01</w:t>
            </w:r>
          </w:p>
          <w:p w:rsidR="00C12CD3" w:rsidRPr="00C12CD3" w:rsidRDefault="00C12CD3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Видача рішення про передачу у власність, надання у постійне користування та оренду земельних ділянок, що перебувають у </w:t>
            </w:r>
          </w:p>
        </w:tc>
        <w:tc>
          <w:tcPr>
            <w:tcW w:w="2268" w:type="dxa"/>
          </w:tcPr>
          <w:p w:rsidR="00C12CD3" w:rsidRPr="007B38F8" w:rsidRDefault="00C12CD3" w:rsidP="00C12CD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38F8">
              <w:rPr>
                <w:rFonts w:ascii="Times New Roman" w:hAnsi="Times New Roman" w:cs="Times New Roman"/>
                <w:sz w:val="24"/>
                <w:szCs w:val="24"/>
              </w:rPr>
              <w:t>Невідповідність наданого пакета документів вимогам чинного законоавства</w:t>
            </w:r>
          </w:p>
        </w:tc>
        <w:tc>
          <w:tcPr>
            <w:tcW w:w="1559" w:type="dxa"/>
          </w:tcPr>
          <w:p w:rsidR="00C12CD3" w:rsidRPr="007B38F8" w:rsidRDefault="00B919D8" w:rsidP="00C12CD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C12CD3" w:rsidRPr="007B38F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оштою </w:t>
            </w:r>
          </w:p>
          <w:p w:rsidR="00C12CD3" w:rsidRPr="007F311F" w:rsidRDefault="00C12CD3" w:rsidP="00C12CD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C12CD3" w:rsidRPr="008F1B31" w:rsidRDefault="00C12CD3" w:rsidP="008F1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CD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1.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ст. 79-1 Земельного кодексу України  формування земельних ділянок здійснюється, крім іншого, у порядку </w:t>
            </w:r>
            <w:r w:rsidR="004A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відведення із земель державної та комунальної власності за проектами землеустрою щодо їх відведення. Сформовані земельні ділянки підлягають державній </w:t>
            </w:r>
            <w:r w:rsid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реєстрації </w:t>
            </w:r>
            <w:r w:rsid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Державному </w:t>
            </w:r>
            <w:r w:rsid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земельному</w:t>
            </w:r>
            <w:r w:rsid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кадастрі.</w:t>
            </w:r>
          </w:p>
        </w:tc>
      </w:tr>
      <w:tr w:rsidR="008F1B31" w:rsidRPr="008F1B31" w:rsidTr="008F1B31">
        <w:trPr>
          <w:trHeight w:val="274"/>
        </w:trPr>
        <w:tc>
          <w:tcPr>
            <w:tcW w:w="675" w:type="dxa"/>
          </w:tcPr>
          <w:p w:rsidR="008F1B31" w:rsidRPr="008F1B31" w:rsidRDefault="008F1B31" w:rsidP="008F1B31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8F1B31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8F1B31" w:rsidRPr="000A33CD" w:rsidRDefault="008F1B31" w:rsidP="008F1B3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8F1B31" w:rsidRPr="000A33CD" w:rsidRDefault="008F1B31" w:rsidP="008F1B3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8F1B31" w:rsidRPr="000A33CD" w:rsidRDefault="008F1B31" w:rsidP="008F1B3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8F1B31" w:rsidRPr="000A33CD" w:rsidRDefault="008F1B31" w:rsidP="008F1B31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A33C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8F1B31" w:rsidRPr="000A33CD" w:rsidRDefault="008F1B31" w:rsidP="008F1B31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0A33CD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F1B31" w:rsidRPr="00C9380E" w:rsidTr="008F1B31">
        <w:trPr>
          <w:trHeight w:val="556"/>
        </w:trPr>
        <w:tc>
          <w:tcPr>
            <w:tcW w:w="675" w:type="dxa"/>
          </w:tcPr>
          <w:p w:rsidR="008F1B31" w:rsidRDefault="008F1B31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1B31" w:rsidRDefault="008F1B31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8F1B31" w:rsidRDefault="008F1B31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державній або комунальній </w:t>
            </w:r>
          </w:p>
          <w:p w:rsidR="008F1B31" w:rsidRPr="007F311F" w:rsidRDefault="008F1B31" w:rsidP="008F1B31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,</w:t>
            </w:r>
          </w:p>
          <w:p w:rsidR="008F1B31" w:rsidRPr="00A93DB6" w:rsidRDefault="008F1B31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 на         пр-ті Поштовому, 111 у Центрально-Міському</w:t>
            </w:r>
          </w:p>
          <w:p w:rsidR="008F1B31" w:rsidRPr="00A93DB6" w:rsidRDefault="008F1B31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районі, для </w:t>
            </w:r>
          </w:p>
          <w:p w:rsidR="008F1B31" w:rsidRPr="00C8532C" w:rsidRDefault="008F1B31" w:rsidP="008F1B31">
            <w:pPr>
              <w:pStyle w:val="1"/>
              <w:ind w:left="33"/>
              <w:jc w:val="center"/>
              <w:outlineLvl w:val="0"/>
              <w:rPr>
                <w:b w:val="0"/>
                <w:i w:val="0"/>
                <w:sz w:val="24"/>
                <w:szCs w:val="23"/>
              </w:rPr>
            </w:pPr>
            <w:r w:rsidRPr="00A93DB6">
              <w:rPr>
                <w:b w:val="0"/>
                <w:i w:val="0"/>
                <w:sz w:val="24"/>
                <w:szCs w:val="24"/>
              </w:rPr>
              <w:t xml:space="preserve">будівництва </w:t>
            </w:r>
            <w:r w:rsidRPr="00A93DB6">
              <w:rPr>
                <w:b w:val="0"/>
                <w:i w:val="0"/>
                <w:sz w:val="24"/>
                <w:szCs w:val="23"/>
              </w:rPr>
              <w:t xml:space="preserve"> </w:t>
            </w:r>
            <w:r w:rsidRPr="00C8532C">
              <w:rPr>
                <w:b w:val="0"/>
                <w:i w:val="0"/>
                <w:sz w:val="24"/>
                <w:szCs w:val="23"/>
              </w:rPr>
              <w:t>та обслуговування житлового будинку, господарських  будівель і споруд</w:t>
            </w:r>
          </w:p>
          <w:p w:rsidR="008F1B31" w:rsidRPr="007F311F" w:rsidRDefault="008F1B31" w:rsidP="008F1B31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F311F">
              <w:rPr>
                <w:rFonts w:ascii="Times New Roman" w:hAnsi="Times New Roman" w:cs="Times New Roman"/>
                <w:sz w:val="24"/>
                <w:szCs w:val="23"/>
              </w:rPr>
              <w:t>(присадибна ділянка)</w:t>
            </w:r>
            <w:r w:rsidRPr="007F311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,</w:t>
            </w:r>
          </w:p>
          <w:p w:rsidR="008F1B31" w:rsidRPr="00A93DB6" w:rsidRDefault="008F1B31" w:rsidP="008F1B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1211000000:08:154:0028)</w:t>
            </w:r>
          </w:p>
        </w:tc>
        <w:tc>
          <w:tcPr>
            <w:tcW w:w="2268" w:type="dxa"/>
          </w:tcPr>
          <w:p w:rsidR="008F1B31" w:rsidRDefault="008F1B31" w:rsidP="002D1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F1B31" w:rsidRDefault="008F1B31" w:rsidP="00DB7AF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:rsidR="008F1B31" w:rsidRDefault="008F1B31" w:rsidP="008F1B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Ст. 123 Земельного кодексу України встановлено, що надання в користування земельної ділянки із зміною цільового призначення або формування нових  земельних  ділянок  здійснюється  на підставі 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землеустрою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ня. Рішення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місцевого самоврядування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ухвалюється на підставі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12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проектів землеустрою щодо відведення земельних ділянок у разі формування нової земельної ділянки.</w:t>
            </w:r>
            <w:r w:rsidRPr="00C12CD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8F1B31" w:rsidRPr="008F1B31" w:rsidRDefault="008F1B31" w:rsidP="008F1B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Рішення про затвердження проекту землеустрою щодо відведення земельної ділянки площею 0,0764 га на пр-ті Поштовому, 111 для </w:t>
            </w:r>
            <w:r w:rsidRPr="008F1B3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будівництва й обслуговування житлового будинку, господарських будівель та споруд (присадибна ділянка)</w:t>
            </w:r>
            <w:r w:rsidRPr="008F1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міською радою не ухвалювалося. Станом на теперішній час зазначена земельна  ділянка не сформована</w:t>
            </w:r>
          </w:p>
        </w:tc>
      </w:tr>
      <w:tr w:rsidR="00930D07" w:rsidRPr="001668E5" w:rsidTr="008F1B31">
        <w:trPr>
          <w:trHeight w:val="556"/>
        </w:trPr>
        <w:tc>
          <w:tcPr>
            <w:tcW w:w="675" w:type="dxa"/>
          </w:tcPr>
          <w:p w:rsidR="00930D07" w:rsidRPr="00BD7A40" w:rsidRDefault="00930D07" w:rsidP="00C12CD3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0D07" w:rsidRDefault="00930D07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відповідальністю «Домініата»</w:t>
            </w:r>
          </w:p>
          <w:p w:rsidR="00930D07" w:rsidRDefault="00930D07" w:rsidP="00C12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30D07" w:rsidRPr="00A93DB6" w:rsidRDefault="00930D07" w:rsidP="00930D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D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930D07" w:rsidRPr="00A93DB6" w:rsidRDefault="00930D07" w:rsidP="00930D07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A93DB6">
              <w:rPr>
                <w:lang w:val="uk-UA"/>
              </w:rPr>
              <w:t xml:space="preserve">послуга </w:t>
            </w:r>
            <w:r w:rsidRPr="00A93DB6">
              <w:rPr>
                <w:b/>
                <w:bCs/>
              </w:rPr>
              <w:t xml:space="preserve"> </w:t>
            </w:r>
            <w:r w:rsidRPr="00A93DB6">
              <w:rPr>
                <w:bCs/>
              </w:rPr>
              <w:t>№03-</w:t>
            </w:r>
            <w:r w:rsidRPr="00A93DB6">
              <w:rPr>
                <w:bCs/>
                <w:lang w:val="uk-UA"/>
              </w:rPr>
              <w:t>01</w:t>
            </w:r>
          </w:p>
          <w:p w:rsidR="008F1B31" w:rsidRDefault="00930D07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Видача рішення про передачу у власність, надан</w:t>
            </w:r>
            <w:r w:rsidR="008F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ня у постійне користу</w:t>
            </w:r>
            <w:r w:rsidR="008F1B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вання </w:t>
            </w:r>
            <w:r w:rsidR="008F1B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та оренду земельних ділянок, що перебувають у державній або комунальній </w:t>
            </w:r>
          </w:p>
          <w:p w:rsidR="008F1B31" w:rsidRDefault="008F1B31" w:rsidP="008F1B3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власності</w:t>
            </w:r>
            <w:r w:rsidRPr="00A93D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</w:p>
          <w:p w:rsidR="008F1B31" w:rsidRDefault="008F1B31" w:rsidP="008F1B3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земельна ділянка на        </w:t>
            </w: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Десантній</w:t>
            </w: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15б</w:t>
            </w: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</w:p>
          <w:p w:rsidR="008F1B31" w:rsidRPr="00930D07" w:rsidRDefault="008F1B31" w:rsidP="008F1B3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Покровському </w:t>
            </w:r>
            <w:r w:rsidRPr="00A93DB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районі, </w:t>
            </w:r>
          </w:p>
          <w:p w:rsidR="00930D07" w:rsidRPr="00A93DB6" w:rsidRDefault="008F1B31" w:rsidP="008F1B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для розміщення існуючої нежитлової будівлі торгівельного павільйону</w:t>
            </w:r>
          </w:p>
        </w:tc>
        <w:tc>
          <w:tcPr>
            <w:tcW w:w="2268" w:type="dxa"/>
          </w:tcPr>
          <w:p w:rsidR="00930D07" w:rsidRPr="00930D07" w:rsidRDefault="002D1ACE" w:rsidP="002D1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неповного</w:t>
            </w:r>
            <w:r w:rsidR="00930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пакет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30D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</w:p>
        </w:tc>
        <w:tc>
          <w:tcPr>
            <w:tcW w:w="1559" w:type="dxa"/>
          </w:tcPr>
          <w:p w:rsidR="00DB7AFA" w:rsidRPr="00444AA1" w:rsidRDefault="00DB7AFA" w:rsidP="00DB7AF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дміністратором Центру </w:t>
            </w:r>
          </w:p>
          <w:p w:rsidR="008F1B31" w:rsidRPr="00444AA1" w:rsidRDefault="00DB7AFA" w:rsidP="008F1B3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дміністра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тивних послуг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«Віза»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F1B3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(«Центр Дії»)</w:t>
            </w:r>
          </w:p>
          <w:p w:rsidR="00930D07" w:rsidRDefault="008F1B31" w:rsidP="008F1B3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Криворізької міської ради</w:t>
            </w:r>
          </w:p>
        </w:tc>
        <w:tc>
          <w:tcPr>
            <w:tcW w:w="5528" w:type="dxa"/>
          </w:tcPr>
          <w:p w:rsidR="00930D07" w:rsidRPr="00C12CD3" w:rsidRDefault="00C9380E" w:rsidP="001668E5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Заявницею надано неповний пакет документів, передбачений інформаційною карткою адміністративної послуги </w:t>
            </w:r>
            <w:r w:rsidRPr="00BA0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№03-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01</w:t>
            </w:r>
            <w:r w:rsidRPr="00BA0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Видача рішення про предачу у власність, надання у постійне користування та оренду</w:t>
            </w:r>
            <w:r w:rsidR="008F1B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земельних ділянок, що перебувають у державній або комунальній власності</w:t>
            </w:r>
            <w:r w:rsidR="008F1B31" w:rsidRPr="00BA00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»</w:t>
            </w:r>
            <w:r w:rsidR="008F1B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 саме: </w:t>
            </w:r>
            <w:r w:rsidR="008F1B31" w:rsidRPr="006A45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відсутній в</w:t>
            </w:r>
            <w:r w:rsidR="008F1B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8F1B31" w:rsidRPr="007951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тяг з Державного земельного кадастру про земельну ділянку</w:t>
            </w:r>
            <w:r w:rsidR="008F1B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F1B31" w:rsidRPr="007951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визначеним</w:t>
            </w:r>
            <w:r w:rsidR="001668E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неї </w:t>
            </w:r>
            <w:r w:rsidR="008F1B31" w:rsidRPr="007951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кадастровим номером,</w:t>
            </w:r>
            <w:r w:rsidR="008F1B31" w:rsidRPr="006A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1B31" w:rsidRPr="007951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 підтверджує факт державної реєстрації</w:t>
            </w:r>
            <w:r w:rsidR="008F1B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цієї ділянки в Державному земельному кадастрі</w:t>
            </w:r>
          </w:p>
        </w:tc>
      </w:tr>
    </w:tbl>
    <w:p w:rsidR="00AF4272" w:rsidRPr="0082157F" w:rsidRDefault="00AF4272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38"/>
          <w:szCs w:val="38"/>
          <w:lang w:val="uk-UA" w:eastAsia="ar-SA"/>
        </w:rPr>
      </w:pPr>
    </w:p>
    <w:p w:rsidR="008D229E" w:rsidRPr="003009A6" w:rsidRDefault="005070E7" w:rsidP="008369A7">
      <w:pPr>
        <w:tabs>
          <w:tab w:val="left" w:pos="708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1F4674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573DC3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Олена ШОВГЕЛЯ</w:t>
      </w:r>
      <w:r w:rsidR="00C4145F" w:rsidRPr="00C4145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</w:p>
    <w:sectPr w:rsidR="008D229E" w:rsidRPr="003009A6" w:rsidSect="00A46EF2">
      <w:headerReference w:type="default" r:id="rId8"/>
      <w:pgSz w:w="16838" w:h="11906" w:orient="landscape"/>
      <w:pgMar w:top="709" w:right="567" w:bottom="99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19" w:rsidRDefault="000B3E19" w:rsidP="00965113">
      <w:pPr>
        <w:spacing w:after="0" w:line="240" w:lineRule="auto"/>
      </w:pPr>
      <w:r>
        <w:separator/>
      </w:r>
    </w:p>
  </w:endnote>
  <w:endnote w:type="continuationSeparator" w:id="0">
    <w:p w:rsidR="000B3E19" w:rsidRDefault="000B3E19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19" w:rsidRDefault="000B3E19" w:rsidP="00965113">
      <w:pPr>
        <w:spacing w:after="0" w:line="240" w:lineRule="auto"/>
      </w:pPr>
      <w:r>
        <w:separator/>
      </w:r>
    </w:p>
  </w:footnote>
  <w:footnote w:type="continuationSeparator" w:id="0">
    <w:p w:rsidR="000B3E19" w:rsidRDefault="000B3E19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7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46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6"/>
  </w:num>
  <w:num w:numId="5">
    <w:abstractNumId w:val="18"/>
  </w:num>
  <w:num w:numId="6">
    <w:abstractNumId w:val="36"/>
  </w:num>
  <w:num w:numId="7">
    <w:abstractNumId w:val="20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8"/>
  </w:num>
  <w:num w:numId="15">
    <w:abstractNumId w:val="30"/>
  </w:num>
  <w:num w:numId="16">
    <w:abstractNumId w:val="15"/>
  </w:num>
  <w:num w:numId="17">
    <w:abstractNumId w:val="4"/>
  </w:num>
  <w:num w:numId="18">
    <w:abstractNumId w:val="3"/>
  </w:num>
  <w:num w:numId="19">
    <w:abstractNumId w:val="31"/>
  </w:num>
  <w:num w:numId="20">
    <w:abstractNumId w:val="16"/>
  </w:num>
  <w:num w:numId="21">
    <w:abstractNumId w:val="1"/>
  </w:num>
  <w:num w:numId="22">
    <w:abstractNumId w:val="32"/>
  </w:num>
  <w:num w:numId="23">
    <w:abstractNumId w:val="7"/>
  </w:num>
  <w:num w:numId="24">
    <w:abstractNumId w:val="13"/>
  </w:num>
  <w:num w:numId="25">
    <w:abstractNumId w:val="9"/>
  </w:num>
  <w:num w:numId="26">
    <w:abstractNumId w:val="11"/>
  </w:num>
  <w:num w:numId="27">
    <w:abstractNumId w:val="33"/>
  </w:num>
  <w:num w:numId="28">
    <w:abstractNumId w:val="10"/>
  </w:num>
  <w:num w:numId="29">
    <w:abstractNumId w:val="35"/>
  </w:num>
  <w:num w:numId="30">
    <w:abstractNumId w:val="38"/>
  </w:num>
  <w:num w:numId="31">
    <w:abstractNumId w:val="29"/>
  </w:num>
  <w:num w:numId="32">
    <w:abstractNumId w:val="23"/>
  </w:num>
  <w:num w:numId="33">
    <w:abstractNumId w:val="27"/>
  </w:num>
  <w:num w:numId="34">
    <w:abstractNumId w:val="37"/>
  </w:num>
  <w:num w:numId="35">
    <w:abstractNumId w:val="0"/>
  </w:num>
  <w:num w:numId="36">
    <w:abstractNumId w:val="17"/>
  </w:num>
  <w:num w:numId="37">
    <w:abstractNumId w:val="24"/>
  </w:num>
  <w:num w:numId="38">
    <w:abstractNumId w:val="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12794"/>
    <w:rsid w:val="000136FE"/>
    <w:rsid w:val="000177BC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36EF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621B"/>
    <w:rsid w:val="000A66C6"/>
    <w:rsid w:val="000A7AE6"/>
    <w:rsid w:val="000B0146"/>
    <w:rsid w:val="000B0DDB"/>
    <w:rsid w:val="000B2EEB"/>
    <w:rsid w:val="000B3C7C"/>
    <w:rsid w:val="000B3D42"/>
    <w:rsid w:val="000B3E19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3E7A"/>
    <w:rsid w:val="001658C8"/>
    <w:rsid w:val="00165B53"/>
    <w:rsid w:val="001668E5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09DE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697B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0A1A"/>
    <w:rsid w:val="002916CC"/>
    <w:rsid w:val="00291D29"/>
    <w:rsid w:val="002920B0"/>
    <w:rsid w:val="002937B3"/>
    <w:rsid w:val="00293D94"/>
    <w:rsid w:val="00294916"/>
    <w:rsid w:val="0029493B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1AC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2BE0"/>
    <w:rsid w:val="002E42CB"/>
    <w:rsid w:val="002E5A51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0B6E"/>
    <w:rsid w:val="0036236A"/>
    <w:rsid w:val="0036294D"/>
    <w:rsid w:val="003631D7"/>
    <w:rsid w:val="003647FD"/>
    <w:rsid w:val="003654DC"/>
    <w:rsid w:val="0036559C"/>
    <w:rsid w:val="00365D04"/>
    <w:rsid w:val="003677BE"/>
    <w:rsid w:val="0037055D"/>
    <w:rsid w:val="003723C8"/>
    <w:rsid w:val="0037280C"/>
    <w:rsid w:val="00372EBB"/>
    <w:rsid w:val="00372FA1"/>
    <w:rsid w:val="003735C2"/>
    <w:rsid w:val="0037448D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E430A"/>
    <w:rsid w:val="003E4852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20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4F5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EB0"/>
    <w:rsid w:val="005003C2"/>
    <w:rsid w:val="00501296"/>
    <w:rsid w:val="00501BCF"/>
    <w:rsid w:val="00502887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67B"/>
    <w:rsid w:val="00515870"/>
    <w:rsid w:val="00516696"/>
    <w:rsid w:val="0051726D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07DC5"/>
    <w:rsid w:val="00610729"/>
    <w:rsid w:val="006113D9"/>
    <w:rsid w:val="0061327A"/>
    <w:rsid w:val="00613307"/>
    <w:rsid w:val="00614DD7"/>
    <w:rsid w:val="00614F11"/>
    <w:rsid w:val="00616462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06F8F"/>
    <w:rsid w:val="00710D08"/>
    <w:rsid w:val="007130DF"/>
    <w:rsid w:val="00714100"/>
    <w:rsid w:val="00714377"/>
    <w:rsid w:val="007151A6"/>
    <w:rsid w:val="00715F12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4D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364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3547"/>
    <w:rsid w:val="00777DA2"/>
    <w:rsid w:val="0078020F"/>
    <w:rsid w:val="0078044A"/>
    <w:rsid w:val="0078070F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8F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11F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157F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589B"/>
    <w:rsid w:val="008663A6"/>
    <w:rsid w:val="008717BB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1B31"/>
    <w:rsid w:val="008F38AA"/>
    <w:rsid w:val="008F6B67"/>
    <w:rsid w:val="008F7842"/>
    <w:rsid w:val="00900603"/>
    <w:rsid w:val="009007DB"/>
    <w:rsid w:val="009055F8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3ECD"/>
    <w:rsid w:val="00924B05"/>
    <w:rsid w:val="0092505C"/>
    <w:rsid w:val="00925117"/>
    <w:rsid w:val="009255E1"/>
    <w:rsid w:val="00926522"/>
    <w:rsid w:val="00926538"/>
    <w:rsid w:val="00926BEF"/>
    <w:rsid w:val="00926F75"/>
    <w:rsid w:val="00930D07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9F7D9D"/>
    <w:rsid w:val="00A00420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17076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6CE8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6EF2"/>
    <w:rsid w:val="00A4710E"/>
    <w:rsid w:val="00A47AD7"/>
    <w:rsid w:val="00A503E3"/>
    <w:rsid w:val="00A50F69"/>
    <w:rsid w:val="00A5135A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3DB6"/>
    <w:rsid w:val="00A941E9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C30AA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B8F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272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1632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9D8"/>
    <w:rsid w:val="00B91BB8"/>
    <w:rsid w:val="00B91D75"/>
    <w:rsid w:val="00B91FFF"/>
    <w:rsid w:val="00B92402"/>
    <w:rsid w:val="00B92EFF"/>
    <w:rsid w:val="00B93BDA"/>
    <w:rsid w:val="00B95219"/>
    <w:rsid w:val="00B96015"/>
    <w:rsid w:val="00B966BB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A40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2F13"/>
    <w:rsid w:val="00BF3944"/>
    <w:rsid w:val="00BF3C53"/>
    <w:rsid w:val="00BF484A"/>
    <w:rsid w:val="00BF4DA9"/>
    <w:rsid w:val="00BF4ECB"/>
    <w:rsid w:val="00BF5551"/>
    <w:rsid w:val="00BF6140"/>
    <w:rsid w:val="00BF77D3"/>
    <w:rsid w:val="00C001E1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669"/>
    <w:rsid w:val="00C06FAC"/>
    <w:rsid w:val="00C10128"/>
    <w:rsid w:val="00C10386"/>
    <w:rsid w:val="00C104F4"/>
    <w:rsid w:val="00C109DD"/>
    <w:rsid w:val="00C10BFA"/>
    <w:rsid w:val="00C129CA"/>
    <w:rsid w:val="00C12CD3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D5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80E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E0C98"/>
    <w:rsid w:val="00CE3276"/>
    <w:rsid w:val="00CE652D"/>
    <w:rsid w:val="00CE6682"/>
    <w:rsid w:val="00CE7814"/>
    <w:rsid w:val="00CE7F8B"/>
    <w:rsid w:val="00CF29B5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068AA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A337D"/>
    <w:rsid w:val="00DA4310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B7AFA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AD0"/>
    <w:rsid w:val="00E0403F"/>
    <w:rsid w:val="00E068EB"/>
    <w:rsid w:val="00E068F9"/>
    <w:rsid w:val="00E07686"/>
    <w:rsid w:val="00E10408"/>
    <w:rsid w:val="00E10DDE"/>
    <w:rsid w:val="00E1292E"/>
    <w:rsid w:val="00E13540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87"/>
    <w:rsid w:val="00EA49D7"/>
    <w:rsid w:val="00EA5115"/>
    <w:rsid w:val="00EA5C72"/>
    <w:rsid w:val="00EA64EA"/>
    <w:rsid w:val="00EB01BE"/>
    <w:rsid w:val="00EB0796"/>
    <w:rsid w:val="00EB08A0"/>
    <w:rsid w:val="00EB2A82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653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BB2"/>
    <w:rsid w:val="00F2653F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0130"/>
    <w:rsid w:val="00F410A6"/>
    <w:rsid w:val="00F42A34"/>
    <w:rsid w:val="00F42E6F"/>
    <w:rsid w:val="00F42F6D"/>
    <w:rsid w:val="00F42FBA"/>
    <w:rsid w:val="00F445FA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1B18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045"/>
    <w:rsid w:val="00FD7701"/>
    <w:rsid w:val="00FD7BA6"/>
    <w:rsid w:val="00FE0F3B"/>
    <w:rsid w:val="00FE2F8D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A21"/>
  <w15:docId w15:val="{5CC74546-A1F4-4542-87B4-389A03B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  <w:style w:type="paragraph" w:customStyle="1" w:styleId="Style9">
    <w:name w:val="Style9"/>
    <w:basedOn w:val="a"/>
    <w:uiPriority w:val="99"/>
    <w:rsid w:val="007F311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382F-39F2-4B00-B194-58C4F9AC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14605786</TotalTime>
  <Pages>2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matvijko</cp:lastModifiedBy>
  <cp:revision>219</cp:revision>
  <cp:lastPrinted>2023-06-13T08:43:00Z</cp:lastPrinted>
  <dcterms:created xsi:type="dcterms:W3CDTF">2022-04-05T11:14:00Z</dcterms:created>
  <dcterms:modified xsi:type="dcterms:W3CDTF">2023-08-01T05:57:00Z</dcterms:modified>
</cp:coreProperties>
</file>