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B7" w:rsidRDefault="00D13207" w:rsidP="00D1320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D13207" w:rsidRDefault="00B0452A" w:rsidP="00D64A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Рішення</w:t>
      </w:r>
      <w:r w:rsidR="00D132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</w:t>
      </w:r>
    </w:p>
    <w:p w:rsidR="00D64A6B" w:rsidRDefault="00D64A6B" w:rsidP="00D64A6B">
      <w:pPr>
        <w:pStyle w:val="a3"/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31.01.2023 №1668</w:t>
      </w:r>
    </w:p>
    <w:p w:rsidR="00D64A6B" w:rsidRDefault="00D64A6B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3207" w:rsidRDefault="00D13207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D13207" w:rsidRDefault="00D13207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виконання у 202</w:t>
      </w:r>
      <w:r w:rsidR="009E3D89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Програми сприяння розвитку малого та</w:t>
      </w:r>
    </w:p>
    <w:p w:rsidR="00D13207" w:rsidRDefault="00D13207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середнього підприємництва в м. Кривому Розі на 2017</w:t>
      </w:r>
      <w:r w:rsidR="00B0452A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F0226C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6C6B15" w:rsidRDefault="006C6B15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57"/>
        <w:gridCol w:w="1381"/>
        <w:gridCol w:w="989"/>
        <w:gridCol w:w="1462"/>
        <w:gridCol w:w="1373"/>
        <w:gridCol w:w="850"/>
      </w:tblGrid>
      <w:tr w:rsidR="000A38E6" w:rsidTr="00B0452A">
        <w:tc>
          <w:tcPr>
            <w:tcW w:w="392" w:type="dxa"/>
            <w:vMerge w:val="restart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№ п</w:t>
            </w:r>
            <w:r w:rsidRPr="000A38E6">
              <w:rPr>
                <w:rFonts w:ascii="Times New Roman" w:hAnsi="Times New Roman" w:cs="Times New Roman"/>
                <w:b/>
                <w:i/>
                <w:spacing w:val="-20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п</w:t>
            </w:r>
          </w:p>
        </w:tc>
        <w:tc>
          <w:tcPr>
            <w:tcW w:w="1843" w:type="dxa"/>
            <w:vMerge w:val="restart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Назва заходу</w:t>
            </w:r>
          </w:p>
        </w:tc>
        <w:tc>
          <w:tcPr>
            <w:tcW w:w="1457" w:type="dxa"/>
            <w:vMerge w:val="restart"/>
          </w:tcPr>
          <w:p w:rsidR="00D13207" w:rsidRPr="00D13207" w:rsidRDefault="00D13207" w:rsidP="009E3D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Усього передбачено в бюджеті на 202</w:t>
            </w:r>
            <w:r w:rsidR="009E3D89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рік з урахуван</w:t>
            </w:r>
            <w:r w:rsidR="000A38E6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ням змін</w:t>
            </w:r>
          </w:p>
        </w:tc>
        <w:tc>
          <w:tcPr>
            <w:tcW w:w="2370" w:type="dxa"/>
            <w:gridSpan w:val="2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 них</w:t>
            </w:r>
          </w:p>
        </w:tc>
        <w:tc>
          <w:tcPr>
            <w:tcW w:w="1462" w:type="dxa"/>
            <w:vMerge w:val="restart"/>
          </w:tcPr>
          <w:p w:rsidR="00D13207" w:rsidRPr="00D13207" w:rsidRDefault="00D13207" w:rsidP="009E3D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Касове виконання на 01.01.202</w:t>
            </w:r>
            <w:r w:rsidR="009E3D89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2223" w:type="dxa"/>
            <w:gridSpan w:val="2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 них</w:t>
            </w:r>
          </w:p>
        </w:tc>
      </w:tr>
      <w:tr w:rsidR="007608EB" w:rsidTr="00B0452A">
        <w:tc>
          <w:tcPr>
            <w:tcW w:w="392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843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457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381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загальний фонд</w:t>
            </w:r>
          </w:p>
        </w:tc>
        <w:tc>
          <w:tcPr>
            <w:tcW w:w="989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спеціа</w:t>
            </w:r>
            <w:r w:rsidR="00B0452A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льний фонд</w:t>
            </w:r>
          </w:p>
        </w:tc>
        <w:tc>
          <w:tcPr>
            <w:tcW w:w="1462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373" w:type="dxa"/>
          </w:tcPr>
          <w:p w:rsidR="00D13207" w:rsidRPr="00D13207" w:rsidRDefault="00D13207" w:rsidP="009739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загальний фонд</w:t>
            </w:r>
          </w:p>
        </w:tc>
        <w:tc>
          <w:tcPr>
            <w:tcW w:w="850" w:type="dxa"/>
          </w:tcPr>
          <w:p w:rsidR="00D13207" w:rsidRPr="00D13207" w:rsidRDefault="00D13207" w:rsidP="009739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спеціа</w:t>
            </w:r>
            <w:r w:rsidR="00B0452A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льний фонд</w:t>
            </w:r>
          </w:p>
        </w:tc>
      </w:tr>
      <w:tr w:rsidR="007608EB" w:rsidTr="00B0452A">
        <w:tc>
          <w:tcPr>
            <w:tcW w:w="392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1843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57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989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462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73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7608EB" w:rsidTr="00B0452A">
        <w:tc>
          <w:tcPr>
            <w:tcW w:w="392" w:type="dxa"/>
          </w:tcPr>
          <w:p w:rsidR="00D13207" w:rsidRPr="00D13207" w:rsidRDefault="00B45D22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D13207" w:rsidRPr="00CF683D" w:rsidRDefault="00B45D22" w:rsidP="00147EFB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Здійснення часткової ком</w:t>
            </w:r>
            <w:r w:rsidR="00B0452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пенсації відсот</w:t>
            </w:r>
            <w:r w:rsidR="00B0452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кових ставок за кредитами, що надаються на реалізацію проєктів суб’єк</w:t>
            </w:r>
            <w:r w:rsid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тів малого та середнього під</w:t>
            </w:r>
            <w:r w:rsidR="00B0452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приємництва</w:t>
            </w:r>
          </w:p>
        </w:tc>
        <w:tc>
          <w:tcPr>
            <w:tcW w:w="1457" w:type="dxa"/>
          </w:tcPr>
          <w:p w:rsidR="00D13207" w:rsidRPr="003C78FE" w:rsidRDefault="009360A6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228</w:t>
            </w:r>
            <w:r w:rsidR="00B45D22" w:rsidRPr="003C78FE">
              <w:rPr>
                <w:rFonts w:ascii="Times New Roman" w:hAnsi="Times New Roman" w:cs="Times New Roman"/>
                <w:lang w:val="uk-UA"/>
              </w:rPr>
              <w:t> 000,00</w:t>
            </w:r>
          </w:p>
        </w:tc>
        <w:tc>
          <w:tcPr>
            <w:tcW w:w="1381" w:type="dxa"/>
          </w:tcPr>
          <w:p w:rsidR="00D13207" w:rsidRPr="003C78FE" w:rsidRDefault="009360A6" w:rsidP="009360A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D856E3">
              <w:rPr>
                <w:rFonts w:ascii="Times New Roman" w:hAnsi="Times New Roman" w:cs="Times New Roman"/>
                <w:lang w:val="uk-UA"/>
              </w:rPr>
              <w:t>8</w:t>
            </w:r>
            <w:r w:rsidR="00B45D22" w:rsidRPr="003C78FE">
              <w:rPr>
                <w:rFonts w:ascii="Times New Roman" w:hAnsi="Times New Roman" w:cs="Times New Roman"/>
                <w:lang w:val="uk-UA"/>
              </w:rPr>
              <w:t> 000,00</w:t>
            </w:r>
          </w:p>
        </w:tc>
        <w:tc>
          <w:tcPr>
            <w:tcW w:w="989" w:type="dxa"/>
          </w:tcPr>
          <w:p w:rsidR="00D13207" w:rsidRPr="003C78FE" w:rsidRDefault="00B0452A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62" w:type="dxa"/>
          </w:tcPr>
          <w:p w:rsidR="00D13207" w:rsidRPr="009360A6" w:rsidRDefault="009360A6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42 844,50</w:t>
            </w:r>
          </w:p>
        </w:tc>
        <w:tc>
          <w:tcPr>
            <w:tcW w:w="1373" w:type="dxa"/>
          </w:tcPr>
          <w:p w:rsidR="00D13207" w:rsidRPr="009360A6" w:rsidRDefault="009360A6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42 844</w:t>
            </w:r>
            <w:r w:rsidR="003C78FE" w:rsidRPr="009360A6">
              <w:rPr>
                <w:rFonts w:ascii="Times New Roman" w:hAnsi="Times New Roman" w:cs="Times New Roman"/>
                <w:lang w:val="uk-UA"/>
              </w:rPr>
              <w:t>,50</w:t>
            </w:r>
          </w:p>
        </w:tc>
        <w:tc>
          <w:tcPr>
            <w:tcW w:w="850" w:type="dxa"/>
          </w:tcPr>
          <w:p w:rsidR="00D13207" w:rsidRPr="00D13207" w:rsidRDefault="00B0452A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608EB" w:rsidTr="00B0452A">
        <w:tc>
          <w:tcPr>
            <w:tcW w:w="392" w:type="dxa"/>
          </w:tcPr>
          <w:p w:rsidR="00D13207" w:rsidRPr="00D13207" w:rsidRDefault="00B45D22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</w:tcPr>
          <w:p w:rsidR="00D13207" w:rsidRPr="00147EFB" w:rsidRDefault="0075610B" w:rsidP="00680A0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Забезпечення ефективної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 xml:space="preserve"> ко</w:t>
            </w:r>
            <w:r w:rsidR="00B0452A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мунікації орга</w:t>
            </w:r>
            <w:r w:rsidR="00B0452A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нів влади із с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у</w:t>
            </w:r>
            <w:r w:rsidR="00B0452A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б’єктами під</w:t>
            </w:r>
            <w:r w:rsidR="00B0452A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приємництва: прове</w:t>
            </w:r>
            <w:r w:rsidR="00CF683D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дення зустрічей, кон</w:t>
            </w:r>
            <w:r w:rsidR="00B0452A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="00CF683D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кур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 xml:space="preserve">сів,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 xml:space="preserve"> 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відкри</w:t>
            </w:r>
            <w:r w:rsidR="00B0452A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 xml:space="preserve">тих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 xml:space="preserve"> 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дискусій, тренінгів, кон</w:t>
            </w:r>
            <w:r w:rsidR="00CF683D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ференцій, семі</w:t>
            </w:r>
            <w:r w:rsidR="00CF683D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нарів з питань по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кращення біз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нес-середо</w:t>
            </w:r>
            <w:r w:rsidR="00CF683D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вища, у тому числі з вико</w:t>
            </w:r>
            <w:r w:rsidR="00955666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ристанням су</w:t>
            </w:r>
            <w:r w:rsidR="00955666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часних техно</w:t>
            </w:r>
            <w:r w:rsidR="00955666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логій</w:t>
            </w:r>
          </w:p>
        </w:tc>
        <w:tc>
          <w:tcPr>
            <w:tcW w:w="1457" w:type="dxa"/>
          </w:tcPr>
          <w:p w:rsidR="00D13207" w:rsidRPr="003C78FE" w:rsidRDefault="0075610B" w:rsidP="0075610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</w:t>
            </w:r>
            <w:r w:rsidR="00D856E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300</w:t>
            </w:r>
            <w:r w:rsidR="007608EB" w:rsidRPr="003C78FE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1" w:type="dxa"/>
          </w:tcPr>
          <w:p w:rsidR="00D13207" w:rsidRPr="003C78FE" w:rsidRDefault="0075610B" w:rsidP="0075610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</w:t>
            </w:r>
            <w:r w:rsidR="00D856E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300</w:t>
            </w:r>
            <w:r w:rsidR="007608EB" w:rsidRPr="003C78FE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989" w:type="dxa"/>
          </w:tcPr>
          <w:p w:rsidR="00D13207" w:rsidRPr="003C78FE" w:rsidRDefault="00B0452A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62" w:type="dxa"/>
          </w:tcPr>
          <w:p w:rsidR="00D13207" w:rsidRPr="003C78FE" w:rsidRDefault="0075610B" w:rsidP="00A41C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373" w:type="dxa"/>
          </w:tcPr>
          <w:p w:rsidR="00D13207" w:rsidRPr="003C78FE" w:rsidRDefault="0075610B" w:rsidP="00A41C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850" w:type="dxa"/>
          </w:tcPr>
          <w:p w:rsidR="00D13207" w:rsidRPr="00D13207" w:rsidRDefault="00B0452A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0452A" w:rsidTr="00B0452A">
        <w:tc>
          <w:tcPr>
            <w:tcW w:w="392" w:type="dxa"/>
          </w:tcPr>
          <w:p w:rsidR="00B0452A" w:rsidRDefault="00B0452A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43" w:type="dxa"/>
          </w:tcPr>
          <w:p w:rsidR="00B0452A" w:rsidRPr="009648F2" w:rsidRDefault="00B0452A" w:rsidP="00680A07">
            <w:pPr>
              <w:pStyle w:val="a3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</w:pP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Виготовлення</w:t>
            </w:r>
            <w:r w:rsidRPr="00063D7A">
              <w:rPr>
                <w:rStyle w:val="rvts6"/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 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та розповсю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дженн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я збірни-ків,  методич- них     рекомен-</w:t>
            </w:r>
          </w:p>
        </w:tc>
        <w:tc>
          <w:tcPr>
            <w:tcW w:w="1457" w:type="dxa"/>
          </w:tcPr>
          <w:p w:rsidR="00B0452A" w:rsidRPr="00D856E3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818 600,00</w:t>
            </w:r>
          </w:p>
        </w:tc>
        <w:tc>
          <w:tcPr>
            <w:tcW w:w="1381" w:type="dxa"/>
          </w:tcPr>
          <w:p w:rsidR="00B0452A" w:rsidRPr="00D856E3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818 600,00</w:t>
            </w:r>
          </w:p>
        </w:tc>
        <w:tc>
          <w:tcPr>
            <w:tcW w:w="989" w:type="dxa"/>
          </w:tcPr>
          <w:p w:rsidR="00B0452A" w:rsidRPr="00F0226C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0452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62" w:type="dxa"/>
          </w:tcPr>
          <w:p w:rsidR="00B0452A" w:rsidRPr="0075610B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10B">
              <w:rPr>
                <w:rFonts w:ascii="Times New Roman" w:hAnsi="Times New Roman" w:cs="Times New Roman"/>
                <w:lang w:val="uk-UA"/>
              </w:rPr>
              <w:t>242 119,29</w:t>
            </w:r>
          </w:p>
        </w:tc>
        <w:tc>
          <w:tcPr>
            <w:tcW w:w="1373" w:type="dxa"/>
          </w:tcPr>
          <w:p w:rsidR="00B0452A" w:rsidRPr="0075610B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610B">
              <w:rPr>
                <w:rFonts w:ascii="Times New Roman" w:hAnsi="Times New Roman" w:cs="Times New Roman"/>
                <w:lang w:val="uk-UA"/>
              </w:rPr>
              <w:t>242 119,29</w:t>
            </w:r>
          </w:p>
        </w:tc>
        <w:tc>
          <w:tcPr>
            <w:tcW w:w="850" w:type="dxa"/>
          </w:tcPr>
          <w:p w:rsidR="00B0452A" w:rsidRPr="00D13207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608EB" w:rsidTr="00B0452A">
        <w:tc>
          <w:tcPr>
            <w:tcW w:w="392" w:type="dxa"/>
          </w:tcPr>
          <w:p w:rsidR="007608EB" w:rsidRPr="007608EB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843" w:type="dxa"/>
          </w:tcPr>
          <w:p w:rsidR="007608EB" w:rsidRPr="007608EB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57" w:type="dxa"/>
          </w:tcPr>
          <w:p w:rsidR="007608EB" w:rsidRPr="007608EB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</w:tcPr>
          <w:p w:rsidR="007608EB" w:rsidRPr="007608EB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989" w:type="dxa"/>
          </w:tcPr>
          <w:p w:rsidR="007608EB" w:rsidRPr="007608EB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462" w:type="dxa"/>
          </w:tcPr>
          <w:p w:rsidR="007608EB" w:rsidRPr="007608EB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73" w:type="dxa"/>
          </w:tcPr>
          <w:p w:rsidR="007608EB" w:rsidRPr="007608EB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7608EB" w:rsidRPr="007608EB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7608EB" w:rsidRPr="00E06D30" w:rsidTr="00B0452A">
        <w:tc>
          <w:tcPr>
            <w:tcW w:w="392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D13207" w:rsidRPr="007608EB" w:rsidRDefault="0075610B" w:rsidP="00680A0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дацій і довідко</w:t>
            </w:r>
            <w:r w:rsidR="00680A07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ви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х по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сіб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ників з</w:t>
            </w:r>
            <w:r w:rsidR="00680A07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різних аспек</w:t>
            </w:r>
            <w:r w:rsidR="00680A07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тів ведення підприєм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ниць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кої діял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ьності та іншої довід</w:t>
            </w:r>
            <w:r w:rsidR="00B0452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кової літе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рату</w:t>
            </w:r>
            <w:r w:rsidR="00B0452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ри для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під</w:t>
            </w:r>
            <w:r w:rsidR="00B0452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приємців; 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під</w:t>
            </w:r>
            <w:r w:rsidR="00B0452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ви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щення рівня  поін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формова</w:t>
            </w:r>
            <w:r w:rsidR="002778B8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ності  </w:t>
            </w:r>
            <w:r w:rsidRPr="00D2256A">
              <w:rPr>
                <w:rStyle w:val="rvts6"/>
                <w:rFonts w:ascii="Times New Roman" w:hAnsi="Times New Roman"/>
                <w:spacing w:val="-20"/>
                <w:sz w:val="24"/>
                <w:szCs w:val="24"/>
                <w:lang w:val="uk-UA"/>
              </w:rPr>
              <w:t>суб’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єктів господарюван</w:t>
            </w:r>
            <w:r w:rsidR="00680A07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ня з питань де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-регуляції гос</w:t>
            </w:r>
            <w:r w:rsidR="00B0452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подар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ської дія</w:t>
            </w:r>
            <w:r w:rsidR="00B0452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льн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ості та реа</w:t>
            </w:r>
            <w:r w:rsidR="00B0452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лізації держав</w:t>
            </w:r>
            <w:r w:rsidR="00B0452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ної ре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гулятор</w:t>
            </w:r>
            <w:r w:rsidR="00B0452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ної політики</w:t>
            </w:r>
          </w:p>
        </w:tc>
        <w:tc>
          <w:tcPr>
            <w:tcW w:w="1457" w:type="dxa"/>
          </w:tcPr>
          <w:p w:rsidR="00D13207" w:rsidRPr="00D856E3" w:rsidRDefault="00D13207" w:rsidP="0075610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1" w:type="dxa"/>
          </w:tcPr>
          <w:p w:rsidR="00D13207" w:rsidRPr="00D856E3" w:rsidRDefault="00D13207" w:rsidP="0075610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9" w:type="dxa"/>
          </w:tcPr>
          <w:p w:rsidR="00D13207" w:rsidRPr="00F0226C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462" w:type="dxa"/>
          </w:tcPr>
          <w:p w:rsidR="00D13207" w:rsidRPr="0075610B" w:rsidRDefault="00D13207" w:rsidP="00DF0FC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3" w:type="dxa"/>
          </w:tcPr>
          <w:p w:rsidR="00D13207" w:rsidRPr="0075610B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D13207" w:rsidRPr="00D13207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38E6" w:rsidRPr="00F63B21" w:rsidTr="00B0452A">
        <w:tc>
          <w:tcPr>
            <w:tcW w:w="392" w:type="dxa"/>
          </w:tcPr>
          <w:p w:rsidR="000A38E6" w:rsidRPr="00F63B21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843" w:type="dxa"/>
          </w:tcPr>
          <w:p w:rsidR="000A38E6" w:rsidRPr="00F63B21" w:rsidRDefault="000A38E6" w:rsidP="005C66A1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63B21">
              <w:rPr>
                <w:rFonts w:ascii="Times New Roman" w:hAnsi="Times New Roman" w:cs="Times New Roman"/>
                <w:b/>
                <w:i/>
                <w:lang w:val="uk-UA"/>
              </w:rPr>
              <w:t>Усього:</w:t>
            </w:r>
          </w:p>
        </w:tc>
        <w:tc>
          <w:tcPr>
            <w:tcW w:w="1457" w:type="dxa"/>
          </w:tcPr>
          <w:p w:rsidR="000A38E6" w:rsidRPr="00D856E3" w:rsidRDefault="000A38E6" w:rsidP="0075610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856E3">
              <w:rPr>
                <w:rFonts w:ascii="Times New Roman" w:hAnsi="Times New Roman" w:cs="Times New Roman"/>
                <w:b/>
                <w:i/>
                <w:lang w:val="uk-UA"/>
              </w:rPr>
              <w:t>1 </w:t>
            </w:r>
            <w:r w:rsidR="0075610B">
              <w:rPr>
                <w:rFonts w:ascii="Times New Roman" w:hAnsi="Times New Roman" w:cs="Times New Roman"/>
                <w:b/>
                <w:i/>
                <w:lang w:val="uk-UA"/>
              </w:rPr>
              <w:t>147</w:t>
            </w:r>
            <w:r w:rsidRPr="00D856E3">
              <w:rPr>
                <w:rFonts w:ascii="Times New Roman" w:hAnsi="Times New Roman" w:cs="Times New Roman"/>
                <w:b/>
                <w:i/>
                <w:lang w:val="uk-UA"/>
              </w:rPr>
              <w:t> </w:t>
            </w:r>
            <w:r w:rsidR="00D856E3">
              <w:rPr>
                <w:rFonts w:ascii="Times New Roman" w:hAnsi="Times New Roman" w:cs="Times New Roman"/>
                <w:b/>
                <w:i/>
                <w:lang w:val="uk-UA"/>
              </w:rPr>
              <w:t>90</w:t>
            </w:r>
            <w:r w:rsidRPr="00D856E3">
              <w:rPr>
                <w:rFonts w:ascii="Times New Roman" w:hAnsi="Times New Roman" w:cs="Times New Roman"/>
                <w:b/>
                <w:i/>
                <w:lang w:val="uk-UA"/>
              </w:rPr>
              <w:t>0,00</w:t>
            </w:r>
          </w:p>
        </w:tc>
        <w:tc>
          <w:tcPr>
            <w:tcW w:w="1381" w:type="dxa"/>
          </w:tcPr>
          <w:p w:rsidR="000A38E6" w:rsidRPr="00D856E3" w:rsidRDefault="000A38E6" w:rsidP="0075610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856E3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  <w:r w:rsidR="00D856E3">
              <w:rPr>
                <w:rFonts w:ascii="Times New Roman" w:hAnsi="Times New Roman" w:cs="Times New Roman"/>
                <w:b/>
                <w:i/>
                <w:lang w:val="uk-UA"/>
              </w:rPr>
              <w:t> </w:t>
            </w:r>
            <w:r w:rsidR="0075610B">
              <w:rPr>
                <w:rFonts w:ascii="Times New Roman" w:hAnsi="Times New Roman" w:cs="Times New Roman"/>
                <w:b/>
                <w:i/>
                <w:lang w:val="uk-UA"/>
              </w:rPr>
              <w:t>147</w:t>
            </w:r>
            <w:r w:rsidR="00D856E3">
              <w:rPr>
                <w:rFonts w:ascii="Times New Roman" w:hAnsi="Times New Roman" w:cs="Times New Roman"/>
                <w:b/>
                <w:i/>
                <w:lang w:val="uk-UA"/>
              </w:rPr>
              <w:t xml:space="preserve"> 900</w:t>
            </w:r>
            <w:r w:rsidRPr="00D856E3">
              <w:rPr>
                <w:rFonts w:ascii="Times New Roman" w:hAnsi="Times New Roman" w:cs="Times New Roman"/>
                <w:b/>
                <w:i/>
                <w:lang w:val="uk-UA"/>
              </w:rPr>
              <w:t>,00</w:t>
            </w:r>
          </w:p>
        </w:tc>
        <w:tc>
          <w:tcPr>
            <w:tcW w:w="989" w:type="dxa"/>
          </w:tcPr>
          <w:p w:rsidR="000A38E6" w:rsidRPr="00F0226C" w:rsidRDefault="002778B8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uk-UA"/>
              </w:rPr>
            </w:pPr>
            <w:r w:rsidRPr="002778B8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</w:p>
        </w:tc>
        <w:tc>
          <w:tcPr>
            <w:tcW w:w="1462" w:type="dxa"/>
          </w:tcPr>
          <w:p w:rsidR="000A38E6" w:rsidRPr="00502C08" w:rsidRDefault="0075610B" w:rsidP="00A41C4C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284 963,79</w:t>
            </w:r>
          </w:p>
        </w:tc>
        <w:tc>
          <w:tcPr>
            <w:tcW w:w="1373" w:type="dxa"/>
          </w:tcPr>
          <w:p w:rsidR="000A38E6" w:rsidRPr="00502C08" w:rsidRDefault="0075610B" w:rsidP="00A41C4C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284 963,79</w:t>
            </w:r>
          </w:p>
        </w:tc>
        <w:tc>
          <w:tcPr>
            <w:tcW w:w="850" w:type="dxa"/>
          </w:tcPr>
          <w:p w:rsidR="000A38E6" w:rsidRPr="00502C08" w:rsidRDefault="002778B8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</w:p>
        </w:tc>
      </w:tr>
    </w:tbl>
    <w:p w:rsidR="00D13207" w:rsidRDefault="00D13207" w:rsidP="008C4E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991" w:rsidRPr="008E2991" w:rsidRDefault="008E2991" w:rsidP="00B0452A">
      <w:pPr>
        <w:spacing w:after="0" w:line="245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E29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Зниження дієвості ринкових інструментів та певна невизначеність в умовах бойових дій </w:t>
      </w:r>
      <w:r w:rsidR="00B045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Pr="008E29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результаті повномасштабної агресії дещо ускладнили виконання заходів</w:t>
      </w:r>
      <w:r w:rsidR="000843F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Pr="008E29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визначених Програмою сприяння  розвитку малого та середнього підприємництва в м. Кривому Розі на 2017–2024 роки</w:t>
      </w:r>
      <w:r w:rsidR="00B045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(надалі – Програма)</w:t>
      </w:r>
      <w:r w:rsidR="000843F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Pr="008E29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2778B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Pr="008E29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традиційному форматі.</w:t>
      </w:r>
    </w:p>
    <w:p w:rsidR="008E2991" w:rsidRPr="008E2991" w:rsidRDefault="008E2991" w:rsidP="00B0452A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E2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3615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ряд</w:t>
      </w:r>
      <w:r w:rsidRPr="008E2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визначив першочергові видатки </w:t>
      </w: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орган</w:t>
      </w:r>
      <w:r w:rsidRPr="008E29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ів</w:t>
      </w: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місцевого самоврядування щодо розв’язання </w:t>
      </w:r>
      <w:r w:rsidR="00B04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начальни</w:t>
      </w: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х потреб громад</w:t>
      </w:r>
      <w:r w:rsidRPr="008E29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в</w:t>
      </w:r>
      <w:r w:rsidR="0036154E" w:rsidRPr="008E2991">
        <w:rPr>
          <w:rStyle w:val="FontStyle16"/>
          <w:sz w:val="28"/>
          <w:szCs w:val="28"/>
          <w:lang w:val="uk-UA" w:eastAsia="uk-UA"/>
        </w:rPr>
        <w:t xml:space="preserve">ідповідно до </w:t>
      </w:r>
      <w:r w:rsidRPr="008E2991">
        <w:rPr>
          <w:rStyle w:val="FontStyle16"/>
          <w:sz w:val="28"/>
          <w:szCs w:val="28"/>
          <w:lang w:val="uk-UA" w:eastAsia="uk-UA"/>
        </w:rPr>
        <w:t>змін</w:t>
      </w:r>
      <w:r w:rsidR="000843F9">
        <w:rPr>
          <w:rStyle w:val="FontStyle16"/>
          <w:sz w:val="28"/>
          <w:szCs w:val="28"/>
          <w:lang w:val="uk-UA" w:eastAsia="uk-UA"/>
        </w:rPr>
        <w:t>,</w:t>
      </w:r>
      <w:r w:rsidRPr="008E2991">
        <w:rPr>
          <w:rStyle w:val="FontStyle16"/>
          <w:sz w:val="28"/>
          <w:szCs w:val="28"/>
          <w:lang w:val="uk-UA" w:eastAsia="uk-UA"/>
        </w:rPr>
        <w:t xml:space="preserve"> </w:t>
      </w:r>
      <w:r w:rsidR="00B0452A">
        <w:rPr>
          <w:rStyle w:val="FontStyle16"/>
          <w:sz w:val="28"/>
          <w:szCs w:val="28"/>
          <w:lang w:val="uk-UA" w:eastAsia="uk-UA"/>
        </w:rPr>
        <w:t>у</w:t>
      </w:r>
      <w:r w:rsidRPr="008E2991">
        <w:rPr>
          <w:rStyle w:val="FontStyle16"/>
          <w:sz w:val="28"/>
          <w:szCs w:val="28"/>
          <w:lang w:val="uk-UA" w:eastAsia="uk-UA"/>
        </w:rPr>
        <w:t xml:space="preserve">несених до </w:t>
      </w:r>
      <w:r w:rsidR="0036154E" w:rsidRPr="008E2991">
        <w:rPr>
          <w:rStyle w:val="FontStyle16"/>
          <w:sz w:val="28"/>
          <w:szCs w:val="28"/>
          <w:lang w:val="uk-UA" w:eastAsia="uk-UA"/>
        </w:rPr>
        <w:t>Постанови К</w:t>
      </w:r>
      <w:r w:rsidR="00B0452A">
        <w:rPr>
          <w:rStyle w:val="FontStyle16"/>
          <w:sz w:val="28"/>
          <w:szCs w:val="28"/>
          <w:lang w:val="uk-UA" w:eastAsia="uk-UA"/>
        </w:rPr>
        <w:t>абінету Міністрів України</w:t>
      </w:r>
      <w:r w:rsidR="0036154E" w:rsidRPr="008E2991">
        <w:rPr>
          <w:rStyle w:val="FontStyle16"/>
          <w:sz w:val="28"/>
          <w:szCs w:val="28"/>
          <w:lang w:val="uk-UA" w:eastAsia="uk-UA"/>
        </w:rPr>
        <w:t xml:space="preserve">  від 09</w:t>
      </w:r>
      <w:r w:rsidR="00B0452A">
        <w:rPr>
          <w:rStyle w:val="FontStyle16"/>
          <w:sz w:val="28"/>
          <w:szCs w:val="28"/>
          <w:lang w:val="uk-UA" w:eastAsia="uk-UA"/>
        </w:rPr>
        <w:t xml:space="preserve"> червня </w:t>
      </w:r>
      <w:r w:rsidR="0036154E" w:rsidRPr="008E2991">
        <w:rPr>
          <w:rStyle w:val="FontStyle16"/>
          <w:sz w:val="28"/>
          <w:szCs w:val="28"/>
          <w:lang w:val="uk-UA" w:eastAsia="uk-UA"/>
        </w:rPr>
        <w:t>2021 року «</w:t>
      </w:r>
      <w:r w:rsidR="0036154E" w:rsidRPr="008E29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виконання повноважень Державною казначейською службою в особливому режимі в умовах воєнного стану»</w:t>
      </w:r>
      <w:r w:rsidRPr="008E29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Pr="008E29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Ч</w:t>
      </w:r>
      <w:r w:rsidR="0036154E"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ерговість відкриття асигнувань бюджету та здійснення платежів </w:t>
      </w:r>
      <w:r w:rsidR="00B04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</w:t>
      </w:r>
      <w:r w:rsidR="0036154E"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азначейством </w:t>
      </w:r>
      <w:r w:rsidR="00B04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і</w:t>
      </w:r>
      <w:r w:rsidR="0036154E"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його територіальними органами в особливому режимі в умовах воєнного стану визначено </w:t>
      </w:r>
      <w:r w:rsidR="00B04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ц</w:t>
      </w:r>
      <w:r w:rsidR="002E2A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им </w:t>
      </w:r>
      <w:r w:rsidRPr="008E29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Порядком.</w:t>
      </w:r>
    </w:p>
    <w:p w:rsidR="0036154E" w:rsidRDefault="0036154E" w:rsidP="00B0452A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Відтак</w:t>
      </w:r>
      <w:r w:rsidR="00277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</w:t>
      </w: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змінами розширений перелік видатків,</w:t>
      </w:r>
      <w:r w:rsidR="00B04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 якими відкриття асигнувань </w:t>
      </w: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 загального фонду бюджету здійснюється </w:t>
      </w:r>
      <w:r w:rsidR="00B04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</w:t>
      </w: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першочерговому порядку, а також уточнений та розширений перелік видатків другої черги, за якими здійснюються платежі</w:t>
      </w:r>
      <w:r w:rsidR="002E2A7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.</w:t>
      </w:r>
    </w:p>
    <w:p w:rsidR="002E2A71" w:rsidRDefault="002E2A71" w:rsidP="00B0452A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2E2A71">
        <w:rPr>
          <w:rFonts w:ascii="Times New Roman" w:hAnsi="Times New Roman" w:cs="Times New Roman"/>
          <w:sz w:val="28"/>
          <w:szCs w:val="28"/>
          <w:lang w:val="uk-UA" w:eastAsia="uk-UA"/>
        </w:rPr>
        <w:t>Так</w:t>
      </w:r>
      <w:r w:rsidR="00F7445D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2E2A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зах</w:t>
      </w:r>
      <w:r w:rsidR="00F7445D">
        <w:rPr>
          <w:rFonts w:ascii="Times New Roman" w:hAnsi="Times New Roman" w:cs="Times New Roman"/>
          <w:sz w:val="28"/>
          <w:szCs w:val="28"/>
          <w:lang w:val="uk-UA" w:eastAsia="uk-UA"/>
        </w:rPr>
        <w:t>оди</w:t>
      </w:r>
      <w:r w:rsidRPr="002E2A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Програми</w:t>
      </w:r>
      <w:r w:rsidR="00B0452A">
        <w:rPr>
          <w:rFonts w:ascii="Times New Roman" w:hAnsi="Times New Roman" w:cs="Times New Roman"/>
          <w:sz w:val="28"/>
          <w:szCs w:val="28"/>
          <w:lang w:val="uk-UA" w:eastAsia="uk-UA"/>
        </w:rPr>
        <w:t>, як</w:t>
      </w:r>
      <w:r w:rsidRPr="002E2A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забезпечення ефективної комунікації органів влади із суб’єктами підприємництва: проведення зустрічей, конкурсів,  відкритих  дискусій, тренінгів, конференцій, семінарів з питань покращення бізнес-середовища, у тому числі з використанням сучасних технологій, не входять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</w:t>
      </w: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перелік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у</w:t>
      </w: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видатків</w:t>
      </w:r>
      <w:r w:rsidR="00F744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</w:t>
      </w:r>
      <w:r w:rsidRPr="002E2A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за якими здійснюються платежі </w:t>
      </w:r>
      <w:r w:rsidR="00277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першочерговому порядку та </w:t>
      </w:r>
      <w:r w:rsidRPr="00361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перелік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у видатків другої черги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.</w:t>
      </w:r>
    </w:p>
    <w:p w:rsidR="00857089" w:rsidRPr="00B0452A" w:rsidRDefault="00857089" w:rsidP="00B045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52A">
        <w:rPr>
          <w:rStyle w:val="a4"/>
          <w:rFonts w:ascii="Times New Roman" w:hAnsi="Times New Roman" w:cs="Times New Roman"/>
          <w:sz w:val="28"/>
          <w:szCs w:val="28"/>
          <w:lang w:val="uk-UA"/>
        </w:rPr>
        <w:lastRenderedPageBreak/>
        <w:t>Але</w:t>
      </w:r>
      <w:r w:rsidR="002778B8">
        <w:rPr>
          <w:rStyle w:val="a4"/>
          <w:rFonts w:ascii="Times New Roman" w:hAnsi="Times New Roman" w:cs="Times New Roman"/>
          <w:sz w:val="28"/>
          <w:szCs w:val="28"/>
          <w:lang w:val="uk-UA"/>
        </w:rPr>
        <w:t>,</w:t>
      </w:r>
      <w:r w:rsidR="00CB4EFB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B0452A" w:rsidRPr="00B0452A">
        <w:rPr>
          <w:rStyle w:val="a4"/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B0452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на це, </w:t>
      </w:r>
      <w:r w:rsidR="00B0452A">
        <w:rPr>
          <w:rStyle w:val="a4"/>
          <w:rFonts w:ascii="Times New Roman" w:hAnsi="Times New Roman" w:cs="Times New Roman"/>
          <w:sz w:val="28"/>
          <w:szCs w:val="28"/>
          <w:lang w:val="uk-UA"/>
        </w:rPr>
        <w:t>у</w:t>
      </w:r>
      <w:r w:rsidRPr="00B0452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рамках дії Програми протягом поточного року проведено низку заходів освітньої та інформаційно-консультаційної спрямованості для суб’єктів господарювання міста</w:t>
      </w:r>
      <w:r w:rsidRPr="00B045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7A8F" w:rsidRPr="00B0452A" w:rsidRDefault="00857089" w:rsidP="00B045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52A">
        <w:rPr>
          <w:rFonts w:ascii="Times New Roman" w:hAnsi="Times New Roman" w:cs="Times New Roman"/>
          <w:sz w:val="28"/>
          <w:szCs w:val="28"/>
          <w:lang w:val="uk-UA"/>
        </w:rPr>
        <w:t>засідання міських координаційної ради з питань розвитку підприємництва, консультативних рад суб’єктів господарювання за відповідними напрямами роб</w:t>
      </w:r>
      <w:r w:rsidR="00B0452A">
        <w:rPr>
          <w:rFonts w:ascii="Times New Roman" w:hAnsi="Times New Roman" w:cs="Times New Roman"/>
          <w:sz w:val="28"/>
          <w:szCs w:val="28"/>
          <w:lang w:val="uk-UA"/>
        </w:rPr>
        <w:t>оти, під час яких обговорювалися</w:t>
      </w:r>
      <w:r w:rsidRPr="00B0452A">
        <w:rPr>
          <w:rFonts w:ascii="Times New Roman" w:hAnsi="Times New Roman" w:cs="Times New Roman"/>
          <w:sz w:val="28"/>
          <w:szCs w:val="28"/>
          <w:lang w:val="uk-UA"/>
        </w:rPr>
        <w:t xml:space="preserve"> питання регуляторної діяльності органів місцевого самоврядування, </w:t>
      </w:r>
      <w:r w:rsidR="00B045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підсумки роботи в напрям</w:t>
      </w:r>
      <w:r w:rsidRPr="00B045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соціально-економічного захисту найманих працівників, рішення міської ради від 25.03.2022 №1273 «Про урегулювання деяких питань оренди»</w:t>
      </w:r>
      <w:r w:rsidR="00D551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зі змінами</w:t>
      </w:r>
      <w:r w:rsidRPr="00B045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виконкому міської ради від 20.04.2022 №232 «Про партнерство місцевої влади й бізнесу під час воєнного стану», 18.05.2022 №287 «</w:t>
      </w:r>
      <w:r w:rsidRPr="00B0452A">
        <w:rPr>
          <w:rFonts w:ascii="Times New Roman" w:hAnsi="Times New Roman" w:cs="Times New Roman"/>
          <w:sz w:val="28"/>
          <w:szCs w:val="28"/>
          <w:lang w:val="uk-UA"/>
        </w:rPr>
        <w:t>Про сприяння розвитку соціального  підприємництва в м. Кри</w:t>
      </w:r>
      <w:r w:rsidR="00CB4EFB">
        <w:rPr>
          <w:rFonts w:ascii="Times New Roman" w:hAnsi="Times New Roman" w:cs="Times New Roman"/>
          <w:sz w:val="28"/>
          <w:szCs w:val="28"/>
          <w:lang w:val="uk-UA"/>
        </w:rPr>
        <w:t>вому Розі»;</w:t>
      </w:r>
      <w:r w:rsidRPr="00B04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7A8F" w:rsidRPr="00D551C8" w:rsidRDefault="00D551C8" w:rsidP="00D55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1C8">
        <w:rPr>
          <w:rFonts w:ascii="Times New Roman" w:hAnsi="Times New Roman" w:cs="Times New Roman"/>
          <w:sz w:val="28"/>
          <w:szCs w:val="28"/>
          <w:lang w:val="uk-UA"/>
        </w:rPr>
        <w:t>опитування</w:t>
      </w:r>
      <w:r w:rsidR="00857089" w:rsidRPr="00D551C8">
        <w:rPr>
          <w:rFonts w:ascii="Times New Roman" w:hAnsi="Times New Roman" w:cs="Times New Roman"/>
          <w:sz w:val="28"/>
          <w:szCs w:val="28"/>
          <w:lang w:val="uk-UA"/>
        </w:rPr>
        <w:t xml:space="preserve"> членів </w:t>
      </w:r>
      <w:r w:rsidRPr="00D551C8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</w:t>
      </w:r>
      <w:r w:rsidR="00857089" w:rsidRPr="00D551C8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та суб’єктів господарювання щодо ставок податку на нерухоме майно, відмінне від земельної ділянки, </w:t>
      </w:r>
      <w:r w:rsidRPr="00D551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57089" w:rsidRPr="00D551C8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становлених у місті Кривому Розі </w:t>
      </w:r>
      <w:r w:rsidR="00CB4EF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57089" w:rsidRPr="00D551C8">
        <w:rPr>
          <w:rFonts w:ascii="Times New Roman" w:hAnsi="Times New Roman" w:cs="Times New Roman"/>
          <w:sz w:val="28"/>
          <w:szCs w:val="28"/>
          <w:lang w:val="uk-UA"/>
        </w:rPr>
        <w:t xml:space="preserve"> стану розвитку підприємництва, грантової підтримки бізнесу</w:t>
      </w:r>
      <w:r w:rsidR="00B47A8F" w:rsidRPr="00D551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7A8F" w:rsidRPr="00D551C8" w:rsidRDefault="00857089" w:rsidP="00D551C8">
      <w:pPr>
        <w:pStyle w:val="a3"/>
        <w:jc w:val="both"/>
        <w:rPr>
          <w:rStyle w:val="FontStyle16"/>
          <w:sz w:val="28"/>
          <w:szCs w:val="28"/>
          <w:lang w:val="uk-UA"/>
        </w:rPr>
      </w:pPr>
      <w:r w:rsidRPr="00D55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51C8">
        <w:rPr>
          <w:rStyle w:val="FontStyle16"/>
          <w:color w:val="000000" w:themeColor="text1"/>
          <w:sz w:val="28"/>
          <w:szCs w:val="28"/>
          <w:lang w:val="uk-UA" w:eastAsia="uk-UA"/>
        </w:rPr>
        <w:t xml:space="preserve">громадські слухання з регуляторних питань </w:t>
      </w:r>
      <w:r w:rsidRPr="00D551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використанням платформи відеозв’язку </w:t>
      </w:r>
      <w:r w:rsidR="00D551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D551C8">
        <w:rPr>
          <w:rStyle w:val="FontStyle16"/>
          <w:color w:val="000000" w:themeColor="text1"/>
          <w:sz w:val="28"/>
          <w:szCs w:val="28"/>
          <w:lang w:val="en-US" w:eastAsia="uk-UA"/>
        </w:rPr>
        <w:t>Zoom</w:t>
      </w:r>
      <w:r w:rsidR="00D551C8">
        <w:rPr>
          <w:rStyle w:val="FontStyle16"/>
          <w:color w:val="000000" w:themeColor="text1"/>
          <w:sz w:val="28"/>
          <w:szCs w:val="28"/>
          <w:lang w:val="uk-UA" w:eastAsia="uk-UA"/>
        </w:rPr>
        <w:t>»</w:t>
      </w:r>
      <w:r w:rsidRPr="00D551C8">
        <w:rPr>
          <w:rStyle w:val="FontStyle16"/>
          <w:color w:val="000000" w:themeColor="text1"/>
          <w:sz w:val="28"/>
          <w:szCs w:val="28"/>
          <w:lang w:val="uk-UA" w:eastAsia="uk-UA"/>
        </w:rPr>
        <w:t xml:space="preserve"> при обговоренні проєктів рішень міської </w:t>
      </w:r>
      <w:r w:rsidR="00B47A8F" w:rsidRPr="00D551C8">
        <w:rPr>
          <w:rStyle w:val="FontStyle16"/>
          <w:color w:val="000000" w:themeColor="text1"/>
          <w:sz w:val="28"/>
          <w:szCs w:val="28"/>
          <w:lang w:val="uk-UA" w:eastAsia="uk-UA"/>
        </w:rPr>
        <w:t>ради та її виконавчого комітету;</w:t>
      </w:r>
    </w:p>
    <w:p w:rsidR="008F2671" w:rsidRPr="00D551C8" w:rsidRDefault="00857089" w:rsidP="00D55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1C8">
        <w:rPr>
          <w:rFonts w:ascii="Times New Roman" w:hAnsi="Times New Roman" w:cs="Times New Roman"/>
          <w:sz w:val="28"/>
          <w:szCs w:val="28"/>
          <w:lang w:val="uk-UA"/>
        </w:rPr>
        <w:t>зустріч міської влади з активом підприємницької громадськ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 xml:space="preserve">ості, під час якої розглядалися питання </w:t>
      </w: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роботи органів місцевого самоврядування в режимі воєнного стану, </w:t>
      </w:r>
      <w:r w:rsidR="00D551C8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тому числі підтримка економіки міста, державна  під</w:t>
      </w:r>
      <w:r w:rsidR="00D551C8">
        <w:rPr>
          <w:rFonts w:ascii="Times New Roman" w:hAnsi="Times New Roman" w:cs="Times New Roman"/>
          <w:sz w:val="28"/>
          <w:szCs w:val="28"/>
          <w:lang w:val="uk-UA" w:eastAsia="ru-RU"/>
        </w:rPr>
        <w:t>тримка бізнесу в умовах війни (У</w:t>
      </w: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>рядові програми та ініціативи з підтримки бізнесу)</w:t>
      </w:r>
      <w:r w:rsidR="008F2671" w:rsidRPr="00D551C8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8F2671" w:rsidRPr="00D551C8" w:rsidRDefault="00857089" w:rsidP="00D55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="00D551C8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>круглого столу</w:t>
      </w:r>
      <w:r w:rsidR="00D551C8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участі відокремленої неурядової некомерційної  організації </w:t>
      </w:r>
      <w:r w:rsidR="00D551C8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D551C8">
        <w:rPr>
          <w:rFonts w:ascii="Times New Roman" w:hAnsi="Times New Roman" w:cs="Times New Roman"/>
          <w:sz w:val="28"/>
          <w:szCs w:val="28"/>
          <w:lang w:val="en-US" w:eastAsia="ru-RU"/>
        </w:rPr>
        <w:t>ACTED</w:t>
      </w:r>
      <w:r w:rsidR="00D551C8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забезпечення позитивного впливу гуманітарних  заходів, заходів стабілізації та розвитку на життя людей та громад, збору даних у рамках мультисекторального дослідження (АВА) по території Криворізької</w:t>
      </w:r>
      <w:r w:rsidR="008F2671" w:rsidRPr="00D551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громади;</w:t>
      </w:r>
    </w:p>
    <w:p w:rsidR="00857089" w:rsidRPr="00D551C8" w:rsidRDefault="00857089" w:rsidP="00D551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1C8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="00D551C8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>круглого столу</w:t>
      </w:r>
      <w:r w:rsidR="00D551C8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D551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«Актуальні проблеми соціально-економічного розвитку регіонів України» (панель «Як виживає малий та середній бізнес у період дії військового стану»).</w:t>
      </w:r>
    </w:p>
    <w:p w:rsidR="00973992" w:rsidRDefault="00973992" w:rsidP="00196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графіка </w:t>
      </w:r>
      <w:r w:rsidRPr="00A26A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заходів з відстеження результативності регуляторних актів </w:t>
      </w:r>
      <w:r w:rsidRPr="00A26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2022 році</w:t>
      </w:r>
      <w:r w:rsidR="00D551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</w:t>
      </w:r>
      <w:r w:rsidR="000525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рішенням виконкому міської ради від 17.11.2021 №587 «Про реалізацію та планування органами місцевого самоврядування регуляторної політики», зі змінами</w:t>
      </w:r>
      <w:r w:rsidR="00D551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26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</w:t>
      </w:r>
      <w:r w:rsidRPr="00A26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з відстеження результативності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26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(проєктів </w:t>
      </w:r>
      <w:r w:rsidR="00D551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чинних</w:t>
      </w:r>
      <w:r w:rsidRPr="0097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рішень міської ради та її виконавчого комітету)</w:t>
      </w:r>
      <w:r w:rsidRPr="0097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26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26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базових, 7 – повторних, 6 – періодичних</w:t>
      </w:r>
      <w:r w:rsidRPr="00A26ABA">
        <w:rPr>
          <w:rStyle w:val="FontStyle16"/>
          <w:sz w:val="28"/>
          <w:szCs w:val="28"/>
          <w:lang w:val="uk-UA" w:eastAsia="uk-UA"/>
        </w:rPr>
        <w:t>.</w:t>
      </w:r>
      <w:r>
        <w:rPr>
          <w:rStyle w:val="FontStyle16"/>
          <w:sz w:val="28"/>
          <w:szCs w:val="28"/>
          <w:lang w:val="uk-UA" w:eastAsia="uk-UA"/>
        </w:rPr>
        <w:t xml:space="preserve"> </w:t>
      </w:r>
      <w:r w:rsidR="00605F19" w:rsidRPr="00A26ABA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</w:t>
      </w:r>
      <w:r w:rsidRPr="00A26ABA"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 вимог Закону України «Про засади державної регуляторної</w:t>
      </w:r>
      <w:r w:rsidRPr="00973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політики у сфері господарської діяльності»,  оприлюднено 3 проєкти рішень (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>одне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>два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комітету) з аналізом їх регуляторного впливу. За регуляторною процедурою ухвалено </w:t>
      </w:r>
      <w:r w:rsidR="00E8613D">
        <w:rPr>
          <w:rFonts w:ascii="Times New Roman" w:hAnsi="Times New Roman" w:cs="Times New Roman"/>
          <w:sz w:val="28"/>
          <w:szCs w:val="28"/>
          <w:lang w:val="uk-UA"/>
        </w:rPr>
        <w:t xml:space="preserve">2 рішення виконавчого комітету міської ради. </w:t>
      </w:r>
    </w:p>
    <w:p w:rsidR="00973992" w:rsidRPr="00A26ABA" w:rsidRDefault="00E8613D" w:rsidP="00973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Ураховуючи вимоги чинного законодавства в друкованих засобах масової інформації системно висвітлювал</w:t>
      </w:r>
      <w:r w:rsidR="00E06D3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E06D30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 xml:space="preserve"> про оприлюднення</w:t>
      </w:r>
      <w:r w:rsidR="00CB4EF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опри</w:t>
      </w:r>
      <w:r w:rsidR="00E06D3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люднення проєктів регуляторних актів, </w:t>
      </w:r>
      <w:r w:rsidR="00E06D3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заходів </w:t>
      </w:r>
      <w:r w:rsidR="00E06D3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звітів з відстеження результативності регуляторних актів, </w:t>
      </w:r>
      <w:r w:rsidR="00973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громадських слухань з регуляторних питань тощо. </w:t>
      </w:r>
    </w:p>
    <w:p w:rsidR="00605F19" w:rsidRPr="00503D6E" w:rsidRDefault="00605F19" w:rsidP="00605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3D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найбільшого сприяння бізнесу під час війни в Україні запроваджено </w:t>
      </w:r>
      <w:r w:rsidR="00D551C8">
        <w:rPr>
          <w:rFonts w:ascii="Times New Roman" w:eastAsia="Times New Roman" w:hAnsi="Times New Roman"/>
          <w:sz w:val="28"/>
          <w:szCs w:val="28"/>
          <w:lang w:val="uk-UA" w:eastAsia="ru-RU"/>
        </w:rPr>
        <w:t>низку</w:t>
      </w:r>
      <w:r w:rsidRPr="00503D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податкових змін на період воєнного стану.</w:t>
      </w:r>
    </w:p>
    <w:p w:rsidR="004415A4" w:rsidRPr="004415A4" w:rsidRDefault="00605F19" w:rsidP="00D55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ABA">
        <w:rPr>
          <w:rFonts w:ascii="Times New Roman" w:hAnsi="Times New Roman" w:cs="Times New Roman"/>
          <w:sz w:val="28"/>
          <w:szCs w:val="28"/>
          <w:lang w:val="uk-UA"/>
        </w:rPr>
        <w:t xml:space="preserve">У межах компетенції органів 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</w:t>
      </w:r>
      <w:r w:rsidRPr="00A26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5A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15A4" w:rsidRPr="004415A4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функціонування об’єктів бізнесу в місті, зменшення фінансового навантаження на суб’єктів господарювання та підтримки їх ділової активності рішен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>ням міської ради від 25.03.2022</w:t>
      </w:r>
      <w:r w:rsidR="004415A4" w:rsidRPr="004415A4">
        <w:rPr>
          <w:rFonts w:ascii="Times New Roman" w:hAnsi="Times New Roman" w:cs="Times New Roman"/>
          <w:sz w:val="28"/>
          <w:szCs w:val="28"/>
          <w:lang w:val="uk-UA"/>
        </w:rPr>
        <w:t xml:space="preserve"> №1273 «Про урегулювання деяких питань оренди», зі змінами, з 01.03.20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>22 на період дії воєнного стану</w:t>
      </w:r>
      <w:r w:rsidR="004415A4" w:rsidRPr="004415A4">
        <w:rPr>
          <w:rFonts w:ascii="Times New Roman" w:hAnsi="Times New Roman" w:cs="Times New Roman"/>
          <w:sz w:val="28"/>
          <w:szCs w:val="28"/>
          <w:lang w:val="uk-UA"/>
        </w:rPr>
        <w:t xml:space="preserve"> суб’єктам господарювання малого й середнього бізнесу призупинено нарахування орендної плати за користування нерухомим майном комунальної власності Криворізької міської територіальної громади, з 01.01.2023 на період дії воєнного стану та протягом одного місяця після його припинення чи скасування орендарям установлено орендну плату за користування нерухомим майном комунальної власності Криворізької міської територіальної громади в розмірі 50% розміру орендної плати (крім плати за земельні ділянки), установленої договором оренди (з урахуванням її індексації), крім орендарів – суб’єктів господарювання великого підприємництва та орендарів, річну орендну плату для яких установлено в розмірі 1 грн.</w:t>
      </w:r>
    </w:p>
    <w:p w:rsidR="004415A4" w:rsidRPr="004415A4" w:rsidRDefault="00D551C8" w:rsidP="00D55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зазначеним рішенням</w:t>
      </w:r>
      <w:r w:rsidR="004415A4" w:rsidRPr="004415A4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 малого й середнього підприємництва, які мають дозволи на розміщення зовнішньої реклами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15A4" w:rsidRPr="004415A4">
        <w:rPr>
          <w:rFonts w:ascii="Times New Roman" w:hAnsi="Times New Roman" w:cs="Times New Roman"/>
          <w:sz w:val="28"/>
          <w:szCs w:val="28"/>
          <w:lang w:val="uk-UA"/>
        </w:rPr>
        <w:t xml:space="preserve"> з 01.03.2022 на період дії воєнного стану звільнено від сплати за користування місцями розташування зовнішньої реклами на об’єктах комунальної власності Криворізької міської територіальної громади.</w:t>
      </w:r>
    </w:p>
    <w:p w:rsidR="0064356D" w:rsidRPr="00D551C8" w:rsidRDefault="00DB0A54" w:rsidP="00D551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highlight w:val="cyan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 xml:space="preserve">зв’язку </w:t>
      </w:r>
      <w:r w:rsidRPr="00DB0A5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B0A54">
        <w:rPr>
          <w:rFonts w:ascii="Times New Roman" w:hAnsi="Times New Roman" w:cs="Times New Roman"/>
          <w:sz w:val="28"/>
          <w:szCs w:val="28"/>
          <w:lang w:val="uk-UA"/>
        </w:rPr>
        <w:t>веденням військового стану</w:t>
      </w:r>
      <w:r w:rsidR="00A24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1C8">
        <w:rPr>
          <w:rFonts w:ascii="Times New Roman" w:hAnsi="Times New Roman" w:cs="Times New Roman"/>
          <w:sz w:val="28"/>
          <w:szCs w:val="28"/>
          <w:lang w:val="uk-UA"/>
        </w:rPr>
        <w:t>Акціонерне товариство</w:t>
      </w:r>
      <w:r w:rsidRPr="00DB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5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«КБ «ПРИВАТБАНК» </w:t>
      </w:r>
      <w:r w:rsidRPr="00DB0A54">
        <w:rPr>
          <w:rFonts w:ascii="Times New Roman" w:hAnsi="Times New Roman" w:cs="Times New Roman"/>
          <w:sz w:val="28"/>
          <w:szCs w:val="28"/>
          <w:lang w:val="uk-UA"/>
        </w:rPr>
        <w:t>тимчасов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B0A54">
        <w:rPr>
          <w:rFonts w:ascii="Times New Roman" w:hAnsi="Times New Roman" w:cs="Times New Roman"/>
          <w:sz w:val="28"/>
          <w:szCs w:val="28"/>
          <w:lang w:val="uk-UA"/>
        </w:rPr>
        <w:t xml:space="preserve"> призупин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DB0A54">
        <w:rPr>
          <w:rFonts w:ascii="Times New Roman" w:hAnsi="Times New Roman" w:cs="Times New Roman"/>
          <w:sz w:val="28"/>
          <w:szCs w:val="28"/>
          <w:lang w:val="uk-UA"/>
        </w:rPr>
        <w:t xml:space="preserve"> на невизначений час кредитування клієнтів малого та середнього бізнесу за програмою «Куб»</w:t>
      </w:r>
      <w:r w:rsidR="00D551C8">
        <w:rPr>
          <w:rFonts w:ascii="Times New Roman" w:eastAsia="Arial" w:hAnsi="Times New Roman" w:cs="Times New Roman"/>
          <w:sz w:val="28"/>
          <w:szCs w:val="28"/>
          <w:lang w:val="uk-UA" w:eastAsia="uk-UA"/>
        </w:rPr>
        <w:t>, чим пояснюється</w:t>
      </w:r>
      <w:r w:rsidRPr="00DB0A54">
        <w:rPr>
          <w:rFonts w:ascii="Times New Roman" w:hAnsi="Times New Roman" w:cs="Times New Roman"/>
          <w:sz w:val="28"/>
          <w:szCs w:val="28"/>
          <w:lang w:val="uk-UA"/>
        </w:rPr>
        <w:t xml:space="preserve"> зниження рівня </w:t>
      </w:r>
      <w:r w:rsidRPr="00DB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активності підприємців міста щодо участі </w:t>
      </w:r>
      <w:r w:rsidR="00D55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DB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конкурсі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проєктів</w:t>
      </w:r>
      <w:r w:rsidRPr="00DB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створення нових робочих місць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B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5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яким передбачено</w:t>
      </w:r>
      <w:r w:rsidRPr="00DB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отримання за рахунок коштів бюджету</w:t>
      </w:r>
      <w:r w:rsidR="00D55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Криворізької міської територіальної громади</w:t>
      </w:r>
      <w:r w:rsidRPr="00DB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часткової компенсації відсоткових ставок за кредитами т</w:t>
      </w:r>
      <w:r w:rsidR="00D55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створення нових робочих місць</w:t>
      </w:r>
      <w:r w:rsidRPr="00DB0A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виконання мети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проєктів суб’єктів малого й середнього підприємництва», зі змінами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r w:rsidR="001D344E" w:rsidRPr="001D344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D344E">
        <w:rPr>
          <w:rFonts w:ascii="Times New Roman" w:hAnsi="Times New Roman"/>
          <w:sz w:val="28"/>
          <w:szCs w:val="28"/>
          <w:lang w:val="uk-UA"/>
        </w:rPr>
        <w:t xml:space="preserve">початку дії Порядку з </w:t>
      </w:r>
      <w:r w:rsidR="001D344E" w:rsidRPr="001D344E">
        <w:rPr>
          <w:rFonts w:ascii="Times New Roman" w:hAnsi="Times New Roman"/>
          <w:sz w:val="28"/>
          <w:szCs w:val="28"/>
          <w:lang w:val="uk-UA"/>
        </w:rPr>
        <w:t xml:space="preserve">місцевого бюджету вже виплачено часткової компенсації </w:t>
      </w:r>
      <w:r w:rsidR="001D344E">
        <w:rPr>
          <w:rFonts w:ascii="Times New Roman" w:hAnsi="Times New Roman"/>
          <w:sz w:val="28"/>
          <w:szCs w:val="28"/>
          <w:lang w:val="uk-UA"/>
        </w:rPr>
        <w:t xml:space="preserve">майже </w:t>
      </w:r>
      <w:r w:rsidR="001D344E" w:rsidRPr="001D344E">
        <w:rPr>
          <w:rFonts w:ascii="Times New Roman" w:hAnsi="Times New Roman"/>
          <w:sz w:val="28"/>
          <w:szCs w:val="28"/>
          <w:lang w:val="uk-UA"/>
        </w:rPr>
        <w:t>46</w:t>
      </w:r>
      <w:r w:rsidR="001D344E">
        <w:rPr>
          <w:rFonts w:ascii="Times New Roman" w:hAnsi="Times New Roman"/>
          <w:sz w:val="28"/>
          <w:szCs w:val="28"/>
          <w:lang w:val="uk-UA"/>
        </w:rPr>
        <w:t>0</w:t>
      </w:r>
      <w:r w:rsidR="001D344E" w:rsidRPr="001D344E">
        <w:rPr>
          <w:rFonts w:ascii="Times New Roman" w:hAnsi="Times New Roman"/>
          <w:sz w:val="28"/>
          <w:szCs w:val="28"/>
          <w:lang w:val="uk-UA"/>
        </w:rPr>
        <w:t xml:space="preserve"> тис. грн</w:t>
      </w:r>
      <w:r w:rsidR="001D344E">
        <w:rPr>
          <w:rFonts w:ascii="Times New Roman" w:hAnsi="Times New Roman"/>
          <w:sz w:val="28"/>
          <w:szCs w:val="28"/>
          <w:lang w:val="uk-UA"/>
        </w:rPr>
        <w:t xml:space="preserve">, у тому числі </w:t>
      </w:r>
      <w:r w:rsidR="00D551C8">
        <w:rPr>
          <w:rFonts w:ascii="Times New Roman" w:hAnsi="Times New Roman"/>
          <w:sz w:val="28"/>
          <w:szCs w:val="28"/>
          <w:lang w:val="uk-UA"/>
        </w:rPr>
        <w:t>в</w:t>
      </w:r>
      <w:r w:rsidR="001D344E">
        <w:rPr>
          <w:rFonts w:ascii="Times New Roman" w:hAnsi="Times New Roman"/>
          <w:sz w:val="28"/>
          <w:szCs w:val="28"/>
          <w:lang w:val="uk-UA"/>
        </w:rPr>
        <w:t xml:space="preserve"> поточному році</w:t>
      </w:r>
      <w:r w:rsidR="0064356D" w:rsidRPr="001D344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4356D" w:rsidRPr="00A26ABA">
        <w:rPr>
          <w:rFonts w:ascii="Times New Roman" w:hAnsi="Times New Roman"/>
          <w:sz w:val="28"/>
          <w:szCs w:val="28"/>
          <w:lang w:val="uk-UA"/>
        </w:rPr>
        <w:t>42,8</w:t>
      </w:r>
      <w:r w:rsidR="0064356D" w:rsidRPr="001D344E">
        <w:rPr>
          <w:rFonts w:ascii="Times New Roman" w:hAnsi="Times New Roman"/>
          <w:sz w:val="28"/>
          <w:szCs w:val="28"/>
          <w:lang w:val="uk-UA"/>
        </w:rPr>
        <w:t xml:space="preserve"> тис. </w:t>
      </w:r>
      <w:r w:rsidR="0064356D" w:rsidRPr="00A26ABA">
        <w:rPr>
          <w:rFonts w:ascii="Times New Roman" w:hAnsi="Times New Roman"/>
          <w:sz w:val="28"/>
          <w:szCs w:val="28"/>
          <w:lang w:val="uk-UA"/>
        </w:rPr>
        <w:t>г</w:t>
      </w:r>
      <w:r w:rsidR="0064356D" w:rsidRPr="001D344E">
        <w:rPr>
          <w:rFonts w:ascii="Times New Roman" w:hAnsi="Times New Roman"/>
          <w:sz w:val="28"/>
          <w:szCs w:val="28"/>
          <w:lang w:val="uk-UA"/>
        </w:rPr>
        <w:t>рн</w:t>
      </w:r>
      <w:r w:rsidR="0064356D" w:rsidRPr="00A26ABA">
        <w:rPr>
          <w:rFonts w:ascii="Times New Roman" w:hAnsi="Times New Roman"/>
          <w:sz w:val="28"/>
          <w:szCs w:val="28"/>
          <w:lang w:val="uk-UA"/>
        </w:rPr>
        <w:t>.</w:t>
      </w:r>
    </w:p>
    <w:p w:rsidR="0064356D" w:rsidRPr="00DB0A54" w:rsidRDefault="0064356D" w:rsidP="00DB0A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8E6" w:rsidRDefault="000A38E6" w:rsidP="008C4E9D">
      <w:pPr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551C8" w:rsidRDefault="00D551C8" w:rsidP="008C4E9D">
      <w:pPr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551C8" w:rsidRPr="000A38E6" w:rsidRDefault="00D551C8" w:rsidP="008C4E9D">
      <w:pPr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840C0" w:rsidRPr="00D13207" w:rsidRDefault="000A38E6" w:rsidP="00503D6E">
      <w:pPr>
        <w:tabs>
          <w:tab w:val="left" w:pos="-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1C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A41C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A41C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A41C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A41C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A41C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D551C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9E3D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Олена Ш</w:t>
      </w:r>
      <w:r w:rsidR="004F0D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ОВГЕЛЯ</w:t>
      </w:r>
    </w:p>
    <w:sectPr w:rsidR="00C840C0" w:rsidRPr="00D13207" w:rsidSect="005C721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CD" w:rsidRDefault="003979CD" w:rsidP="005C721F">
      <w:pPr>
        <w:spacing w:after="0" w:line="240" w:lineRule="auto"/>
      </w:pPr>
      <w:r>
        <w:separator/>
      </w:r>
    </w:p>
  </w:endnote>
  <w:endnote w:type="continuationSeparator" w:id="0">
    <w:p w:rsidR="003979CD" w:rsidRDefault="003979CD" w:rsidP="005C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CD" w:rsidRDefault="003979CD" w:rsidP="005C721F">
      <w:pPr>
        <w:spacing w:after="0" w:line="240" w:lineRule="auto"/>
      </w:pPr>
      <w:r>
        <w:separator/>
      </w:r>
    </w:p>
  </w:footnote>
  <w:footnote w:type="continuationSeparator" w:id="0">
    <w:p w:rsidR="003979CD" w:rsidRDefault="003979CD" w:rsidP="005C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729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6CF7" w:rsidRPr="00755787" w:rsidRDefault="00196CF7" w:rsidP="007557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72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72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72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4A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72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6E7C"/>
    <w:multiLevelType w:val="multilevel"/>
    <w:tmpl w:val="CCF8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82091"/>
    <w:multiLevelType w:val="hybridMultilevel"/>
    <w:tmpl w:val="5F3E5362"/>
    <w:lvl w:ilvl="0" w:tplc="FF96A23C">
      <w:start w:val="28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81"/>
    <w:rsid w:val="00016B16"/>
    <w:rsid w:val="0005258B"/>
    <w:rsid w:val="000843F9"/>
    <w:rsid w:val="000A38E6"/>
    <w:rsid w:val="000A6C52"/>
    <w:rsid w:val="000B498A"/>
    <w:rsid w:val="00147EFB"/>
    <w:rsid w:val="00196CF7"/>
    <w:rsid w:val="001D2F2B"/>
    <w:rsid w:val="001D344E"/>
    <w:rsid w:val="002342B3"/>
    <w:rsid w:val="002513B9"/>
    <w:rsid w:val="0026300B"/>
    <w:rsid w:val="002778B8"/>
    <w:rsid w:val="002B2989"/>
    <w:rsid w:val="002E2A71"/>
    <w:rsid w:val="003377B4"/>
    <w:rsid w:val="0036154E"/>
    <w:rsid w:val="0038155A"/>
    <w:rsid w:val="00386042"/>
    <w:rsid w:val="003979CD"/>
    <w:rsid w:val="003C78FE"/>
    <w:rsid w:val="003E123E"/>
    <w:rsid w:val="0044081E"/>
    <w:rsid w:val="004415A4"/>
    <w:rsid w:val="0048716D"/>
    <w:rsid w:val="004B1CE0"/>
    <w:rsid w:val="004B2D18"/>
    <w:rsid w:val="004F0DBA"/>
    <w:rsid w:val="00502C08"/>
    <w:rsid w:val="00503D6E"/>
    <w:rsid w:val="005C66A1"/>
    <w:rsid w:val="005C721F"/>
    <w:rsid w:val="006027B9"/>
    <w:rsid w:val="00605F19"/>
    <w:rsid w:val="006277A1"/>
    <w:rsid w:val="0064356D"/>
    <w:rsid w:val="00650305"/>
    <w:rsid w:val="00680A07"/>
    <w:rsid w:val="006903A0"/>
    <w:rsid w:val="006C6B15"/>
    <w:rsid w:val="00755787"/>
    <w:rsid w:val="0075610B"/>
    <w:rsid w:val="007608EB"/>
    <w:rsid w:val="007B1665"/>
    <w:rsid w:val="00857089"/>
    <w:rsid w:val="008B54F0"/>
    <w:rsid w:val="008C4E9D"/>
    <w:rsid w:val="008D0772"/>
    <w:rsid w:val="008E2991"/>
    <w:rsid w:val="008F2553"/>
    <w:rsid w:val="008F2671"/>
    <w:rsid w:val="0090523C"/>
    <w:rsid w:val="009360A6"/>
    <w:rsid w:val="00943450"/>
    <w:rsid w:val="00955666"/>
    <w:rsid w:val="00970F46"/>
    <w:rsid w:val="00973992"/>
    <w:rsid w:val="00995037"/>
    <w:rsid w:val="009E3D89"/>
    <w:rsid w:val="00A04CA8"/>
    <w:rsid w:val="00A24BE7"/>
    <w:rsid w:val="00A26ABA"/>
    <w:rsid w:val="00A41C4C"/>
    <w:rsid w:val="00A95D1A"/>
    <w:rsid w:val="00AC1BF8"/>
    <w:rsid w:val="00B0452A"/>
    <w:rsid w:val="00B45D22"/>
    <w:rsid w:val="00B47A8F"/>
    <w:rsid w:val="00BB293B"/>
    <w:rsid w:val="00C3222E"/>
    <w:rsid w:val="00C56E9B"/>
    <w:rsid w:val="00C840C0"/>
    <w:rsid w:val="00C9281F"/>
    <w:rsid w:val="00CB4EFB"/>
    <w:rsid w:val="00CC6881"/>
    <w:rsid w:val="00CF683D"/>
    <w:rsid w:val="00D13207"/>
    <w:rsid w:val="00D551C8"/>
    <w:rsid w:val="00D64A6B"/>
    <w:rsid w:val="00D856E3"/>
    <w:rsid w:val="00DB0A54"/>
    <w:rsid w:val="00DE10B7"/>
    <w:rsid w:val="00DF0FC8"/>
    <w:rsid w:val="00E06D30"/>
    <w:rsid w:val="00E8613D"/>
    <w:rsid w:val="00EF206E"/>
    <w:rsid w:val="00F0226C"/>
    <w:rsid w:val="00F54C5D"/>
    <w:rsid w:val="00F63B21"/>
    <w:rsid w:val="00F73238"/>
    <w:rsid w:val="00F7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8607"/>
  <w15:docId w15:val="{6FD01AB4-7411-4DCB-98BC-F1D9523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3207"/>
    <w:pPr>
      <w:spacing w:after="0" w:line="240" w:lineRule="auto"/>
    </w:pPr>
  </w:style>
  <w:style w:type="table" w:styleId="a5">
    <w:name w:val="Table Grid"/>
    <w:basedOn w:val="a1"/>
    <w:uiPriority w:val="59"/>
    <w:rsid w:val="00D1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45D22"/>
  </w:style>
  <w:style w:type="character" w:customStyle="1" w:styleId="rvts6">
    <w:name w:val="rvts6"/>
    <w:rsid w:val="007608E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21F"/>
  </w:style>
  <w:style w:type="paragraph" w:styleId="a8">
    <w:name w:val="footer"/>
    <w:basedOn w:val="a"/>
    <w:link w:val="a9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21F"/>
  </w:style>
  <w:style w:type="character" w:customStyle="1" w:styleId="FontStyle16">
    <w:name w:val="Font Style16"/>
    <w:basedOn w:val="a0"/>
    <w:uiPriority w:val="99"/>
    <w:rsid w:val="0090523C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8D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6154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344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9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E9B0-941F-46C9-BDCC-2B1ECA45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zagalny301_2</cp:lastModifiedBy>
  <cp:revision>19</cp:revision>
  <cp:lastPrinted>2023-01-10T12:31:00Z</cp:lastPrinted>
  <dcterms:created xsi:type="dcterms:W3CDTF">2023-01-03T13:46:00Z</dcterms:created>
  <dcterms:modified xsi:type="dcterms:W3CDTF">2023-02-02T08:31:00Z</dcterms:modified>
</cp:coreProperties>
</file>