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A3" w:rsidRDefault="00225D70" w:rsidP="000061A4">
      <w:pPr>
        <w:tabs>
          <w:tab w:val="left" w:pos="5812"/>
        </w:tabs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027EA3"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:rsidR="00856D8D" w:rsidRDefault="00856D8D" w:rsidP="000061A4">
      <w:pPr>
        <w:tabs>
          <w:tab w:val="left" w:pos="5812"/>
        </w:tabs>
        <w:spacing w:after="0" w:line="240" w:lineRule="auto"/>
        <w:ind w:left="5720" w:righ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7EA3" w:rsidRPr="00647759" w:rsidRDefault="00027EA3" w:rsidP="000061A4">
      <w:pPr>
        <w:tabs>
          <w:tab w:val="left" w:pos="5812"/>
        </w:tabs>
        <w:spacing w:after="0" w:line="240" w:lineRule="auto"/>
        <w:ind w:left="5720"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7759">
        <w:rPr>
          <w:rFonts w:ascii="Times New Roman" w:eastAsia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027EA3" w:rsidRPr="003D7113" w:rsidRDefault="003D711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28.09.2022 №776</w:t>
      </w: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</w:t>
      </w:r>
    </w:p>
    <w:p w:rsidR="009D1A34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формування та ведення </w:t>
      </w:r>
      <w:r w:rsidR="00CC1D70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еєстру тимчасових </w:t>
      </w: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споруд геоінформаційної системи м. Кривого Рогу</w:t>
      </w: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Загальні положення</w:t>
      </w:r>
    </w:p>
    <w:p w:rsidR="00027EA3" w:rsidRDefault="00027EA3" w:rsidP="000061A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638" w:rsidRDefault="00236E7E" w:rsidP="000061A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C22FB" w:rsidRPr="009C22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Порядок формування та ведення реєстру тимчасових споруд геоінформаційної</w:t>
      </w:r>
      <w:r w:rsidR="00767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r w:rsidR="00767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м. Кривого Рогу (надалі – Порядок) розроблений з </w:t>
      </w:r>
      <w:r w:rsidR="000F2638">
        <w:rPr>
          <w:rFonts w:ascii="Times New Roman" w:eastAsia="Times New Roman" w:hAnsi="Times New Roman" w:cs="Times New Roman"/>
          <w:sz w:val="28"/>
          <w:szCs w:val="28"/>
        </w:rPr>
        <w:t>метою забезпечення обліку, зберігання та надання інформації щодо тимчасових споруд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A9">
        <w:rPr>
          <w:rFonts w:ascii="Times New Roman" w:hAnsi="Times New Roman" w:cs="Times New Roman"/>
          <w:sz w:val="28"/>
          <w:szCs w:val="28"/>
        </w:rPr>
        <w:t>(надалі – ТС)</w:t>
      </w:r>
      <w:r w:rsidR="00767985" w:rsidRPr="00767985">
        <w:rPr>
          <w:rFonts w:ascii="Times New Roman" w:hAnsi="Times New Roman" w:cs="Times New Roman"/>
          <w:sz w:val="28"/>
          <w:szCs w:val="28"/>
        </w:rPr>
        <w:t xml:space="preserve"> </w:t>
      </w:r>
      <w:r w:rsidR="00767985">
        <w:rPr>
          <w:rFonts w:ascii="Times New Roman" w:hAnsi="Times New Roman" w:cs="Times New Roman"/>
          <w:sz w:val="28"/>
          <w:szCs w:val="28"/>
        </w:rPr>
        <w:t>торговельного, побутового, соціально-культурного чи іншого призначення для здійснення підприємницької діяльності</w:t>
      </w:r>
      <w:r w:rsidR="000F2638">
        <w:rPr>
          <w:rFonts w:ascii="Times New Roman" w:eastAsia="Times New Roman" w:hAnsi="Times New Roman" w:cs="Times New Roman"/>
          <w:sz w:val="28"/>
          <w:szCs w:val="28"/>
        </w:rPr>
        <w:t xml:space="preserve">, договорів про надання права тимчасового користування окремим елементом благоустрою комунальної власності або його частиною для розміщення 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0F26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EA3" w:rsidRDefault="008934B2" w:rsidP="000061A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B628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F2638">
        <w:rPr>
          <w:rFonts w:ascii="Times New Roman" w:eastAsia="Times New Roman" w:hAnsi="Times New Roman" w:cs="Times New Roman"/>
          <w:sz w:val="28"/>
          <w:szCs w:val="28"/>
        </w:rPr>
        <w:t xml:space="preserve">Основні завдання 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638">
        <w:rPr>
          <w:rFonts w:ascii="Times New Roman" w:eastAsia="Times New Roman" w:hAnsi="Times New Roman" w:cs="Times New Roman"/>
          <w:sz w:val="28"/>
          <w:szCs w:val="28"/>
        </w:rPr>
        <w:t>еєстру тимчасових споруд</w:t>
      </w:r>
      <w:r w:rsidR="009B3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 xml:space="preserve">геоінформаційної  системи м. Кривого Рогу </w:t>
      </w:r>
      <w:r w:rsidR="009B3232" w:rsidRPr="009B3232">
        <w:rPr>
          <w:rFonts w:ascii="Times New Roman" w:hAnsi="Times New Roman" w:cs="Times New Roman"/>
          <w:sz w:val="28"/>
          <w:szCs w:val="28"/>
        </w:rPr>
        <w:t>(надалі – Реєстр)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7EA3" w:rsidRPr="008934B2" w:rsidRDefault="008934B2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 w:rsidRPr="008934B2">
        <w:rPr>
          <w:rFonts w:ascii="Times New Roman" w:eastAsia="Times New Roman" w:hAnsi="Times New Roman" w:cs="Times New Roman"/>
          <w:sz w:val="28"/>
          <w:szCs w:val="28"/>
        </w:rPr>
        <w:t>ведення реєстру паспортів прив’язки тимчасових споруд;</w:t>
      </w:r>
    </w:p>
    <w:p w:rsidR="00027EA3" w:rsidRPr="00445743" w:rsidRDefault="00CB6286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1.2.2 </w:t>
      </w:r>
      <w:r w:rsidR="003E0D3F">
        <w:rPr>
          <w:rFonts w:ascii="Times New Roman" w:eastAsia="Times New Roman" w:hAnsi="Times New Roman" w:cs="Times New Roman"/>
          <w:sz w:val="28"/>
          <w:szCs w:val="28"/>
        </w:rPr>
        <w:t xml:space="preserve">ведення реєстру </w:t>
      </w:r>
      <w:r w:rsidR="00027EA3" w:rsidRPr="00445743">
        <w:rPr>
          <w:rFonts w:ascii="Times New Roman" w:eastAsia="Times New Roman" w:hAnsi="Times New Roman" w:cs="Times New Roman"/>
          <w:sz w:val="28"/>
          <w:szCs w:val="28"/>
        </w:rPr>
        <w:t>договорів про надання права тимчасового користування окремим елементом благоустрою комунальної власності або його частиною для розміщення тимчасової споруди;</w:t>
      </w:r>
    </w:p>
    <w:p w:rsidR="00027EA3" w:rsidRDefault="009C22FB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1.2.3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забезпечення доступу до інформації про тимчасові споруди.</w:t>
      </w:r>
    </w:p>
    <w:p w:rsidR="009B3232" w:rsidRDefault="00236E7E" w:rsidP="001E1D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C22FB" w:rsidRPr="009C22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>Реєстр є електронною базою даних та невід’ємною складовою підсистемою геоінформаційної системи м. Кривого Рогу (</w:t>
      </w:r>
      <w:r w:rsidR="005B63A9" w:rsidRPr="009B3232">
        <w:rPr>
          <w:rFonts w:ascii="Times New Roman" w:hAnsi="Times New Roman" w:cs="Times New Roman"/>
          <w:sz w:val="28"/>
          <w:szCs w:val="28"/>
        </w:rPr>
        <w:t xml:space="preserve">надалі – 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>ГІС),</w:t>
      </w:r>
      <w:r w:rsidR="00D8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 xml:space="preserve">що  формується та ведеться з метою забезпечення автоматизації процесів збирання, обліку, актуалізації та використання даних про об’єкти 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 xml:space="preserve"> для провадження підприємницької діяльності та їх розміщення на територіях адміністративних районів м. Кривого Рогу, договор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 xml:space="preserve"> про надання права тимчасового користування окремим елементом благоустрою комунальної власності або його частиною для розміщення 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9B3232" w:rsidRPr="009B3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EA3" w:rsidRDefault="00236E7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9C22F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92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Порядку терміни вживаються </w:t>
      </w:r>
      <w:r w:rsidR="005B63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такому значенні:</w:t>
      </w:r>
    </w:p>
    <w:p w:rsidR="00B8064D" w:rsidRPr="00721F95" w:rsidRDefault="00236E7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9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Адміністратор – </w:t>
      </w:r>
      <w:r w:rsidR="00B8064D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Комунальне підприємство «Центр електронних послуг» Криворізької міської ради, </w:t>
      </w:r>
      <w:r w:rsidR="005B63A9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що</w:t>
      </w:r>
      <w:r w:rsidR="00B8064D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відповідає за технічне, технологічне, програмне забезпечення,</w:t>
      </w:r>
      <w:r w:rsidR="00580CA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доступ та захист даних Реєстру;</w:t>
      </w:r>
    </w:p>
    <w:p w:rsidR="00B8064D" w:rsidRPr="00B8064D" w:rsidRDefault="00B8064D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1.4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.2 Уча</w:t>
      </w:r>
      <w:r w:rsidR="00721F9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сники –</w:t>
      </w:r>
      <w:r w:rsidR="00C168A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="00C168A1">
        <w:rPr>
          <w:rFonts w:ascii="Times New Roman" w:eastAsia="Times New Roman" w:hAnsi="Times New Roman" w:cs="Times New Roman"/>
          <w:sz w:val="28"/>
          <w:szCs w:val="28"/>
        </w:rPr>
        <w:t>департамент регулювання містобудівної діяльності та земельних відносин виконкому Криво</w:t>
      </w:r>
      <w:r w:rsidR="00FE5924">
        <w:rPr>
          <w:rFonts w:ascii="Times New Roman" w:eastAsia="Times New Roman" w:hAnsi="Times New Roman" w:cs="Times New Roman"/>
          <w:sz w:val="28"/>
          <w:szCs w:val="28"/>
        </w:rPr>
        <w:t>різької міської ради, виконкоми</w:t>
      </w:r>
      <w:r w:rsidR="00C168A1">
        <w:rPr>
          <w:rFonts w:ascii="Times New Roman" w:eastAsia="Times New Roman" w:hAnsi="Times New Roman" w:cs="Times New Roman"/>
          <w:sz w:val="28"/>
          <w:szCs w:val="28"/>
        </w:rPr>
        <w:t xml:space="preserve"> районних у місті рад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</w:t>
      </w:r>
      <w:r w:rsidR="005B63A9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що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беруть участь </w:t>
      </w:r>
      <w:r w:rsidR="005B63A9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="00D86718" w:rsidRPr="00D8671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створенні, редагуванні та вилученні інформації в Реєстрі згідно з Порядком та Положення</w:t>
      </w:r>
      <w:r w:rsidR="005B63A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D86718" w:rsidRPr="00D86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геоінфор</w:t>
      </w:r>
      <w:r w:rsidR="005B63A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маційну систем</w:t>
      </w:r>
      <w:r w:rsidR="003060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7925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="003060D6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  <w:r w:rsidR="007925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60D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Рогу, затверджени</w:t>
      </w:r>
      <w:r w:rsidR="000B467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060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 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виконкому </w:t>
      </w:r>
      <w:r w:rsidR="003060D6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міської ради </w:t>
      </w:r>
      <w:r w:rsidR="00FA74FE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                       </w:t>
      </w:r>
      <w:r w:rsidR="003060D6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від 16.02.2022 №101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:rsidR="00B8064D" w:rsidRPr="00B8064D" w:rsidRDefault="00B8064D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1.5</w:t>
      </w:r>
      <w:r w:rsidR="009C22F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Інші терміни 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Порядку вживаються 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значенні, наведеному 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Законі України </w:t>
      </w:r>
      <w:r w:rsidRPr="00B8064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Про регулювання містобудівної діяльності</w:t>
      </w:r>
      <w:r w:rsidRPr="00B8064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t xml:space="preserve">Порядку розміщення 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lastRenderedPageBreak/>
        <w:t>тимчасових споруд для провадження підприємницької діяльності, затверджено</w:t>
      </w:r>
      <w:r w:rsidR="003060D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2FB" w:rsidRPr="009C22FB">
        <w:rPr>
          <w:rFonts w:ascii="Times New Roman" w:eastAsia="Times New Roman" w:hAnsi="Times New Roman" w:cs="Times New Roman"/>
          <w:sz w:val="28"/>
          <w:szCs w:val="28"/>
          <w:lang w:val="uk"/>
        </w:rPr>
        <w:t>Н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t>аказом Міністерства регіонального розвитку, будівництва та житлово-комунального господарства України від 21</w:t>
      </w:r>
      <w:r w:rsidR="000B4672">
        <w:rPr>
          <w:rFonts w:ascii="Times New Roman" w:eastAsia="Times New Roman" w:hAnsi="Times New Roman" w:cs="Times New Roman"/>
          <w:sz w:val="28"/>
          <w:szCs w:val="28"/>
        </w:rPr>
        <w:t xml:space="preserve"> жовтня 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0B467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2D684D" w:rsidRPr="002D684D">
        <w:rPr>
          <w:rFonts w:ascii="Times New Roman" w:eastAsia="Times New Roman" w:hAnsi="Times New Roman" w:cs="Times New Roman"/>
          <w:sz w:val="28"/>
          <w:szCs w:val="28"/>
        </w:rPr>
        <w:t xml:space="preserve"> №244, зі змінами,</w:t>
      </w:r>
      <w:r w:rsidR="002D68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рішенні </w:t>
      </w:r>
      <w:r w:rsidR="003060D6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виконкому 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міської ради від 16.02.2022 №101 </w:t>
      </w:r>
      <w:r w:rsidRPr="00B8064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Про затвердження Положення про геоінформаційну систему м. Кривого Рогу</w:t>
      </w:r>
      <w:r w:rsidRPr="00B8064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.  </w:t>
      </w:r>
    </w:p>
    <w:p w:rsidR="00D86718" w:rsidRDefault="00721F95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1.6</w:t>
      </w:r>
      <w:r w:rsidR="009C22F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. </w:t>
      </w:r>
      <w:r w:rsidR="00B8064D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Реєстр є комунальною власністю Криворізької</w:t>
      </w:r>
      <w:r w:rsidR="00097EA2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="004821E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міської </w:t>
      </w:r>
      <w:r w:rsidR="00D8671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територіальної громади.</w:t>
      </w:r>
      <w:r w:rsidR="00B8064D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:rsidR="00B8064D" w:rsidRDefault="00721F95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1.7</w:t>
      </w:r>
      <w:r w:rsidR="009C22F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  <w:r w:rsidR="00B8064D" w:rsidRPr="00B8064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Ведення Реєстру здійснюється з використанням топографічної основи з державних геоінформаційних ресурсів відповідно до законодавства. </w:t>
      </w:r>
    </w:p>
    <w:p w:rsidR="009A10BD" w:rsidRPr="009A10BD" w:rsidRDefault="009A10BD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0BD">
        <w:rPr>
          <w:rFonts w:ascii="Times New Roman" w:eastAsia="Times New Roman" w:hAnsi="Times New Roman" w:cs="Times New Roman"/>
          <w:sz w:val="28"/>
          <w:szCs w:val="28"/>
          <w:lang w:eastAsia="uk-UA"/>
        </w:rPr>
        <w:t>1.8</w:t>
      </w:r>
      <w:r w:rsidR="000E75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A1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Адміністратор:</w:t>
      </w:r>
    </w:p>
    <w:p w:rsidR="009A10BD" w:rsidRPr="009A10BD" w:rsidRDefault="009A10BD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0BD">
        <w:rPr>
          <w:rFonts w:ascii="Times New Roman" w:eastAsia="Times New Roman" w:hAnsi="Times New Roman" w:cs="Times New Roman"/>
          <w:sz w:val="28"/>
          <w:szCs w:val="28"/>
          <w:lang w:eastAsia="uk-UA"/>
        </w:rPr>
        <w:t>1.8.1 забезпечує доступ Учасників до Реєстру шляхом їх авторизації в ГІС на основі логіну та паролю або через кваліфікова</w:t>
      </w:r>
      <w:r w:rsidR="00620C3B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електронний цифровий підпис;</w:t>
      </w:r>
    </w:p>
    <w:p w:rsidR="000061A4" w:rsidRDefault="009A10BD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0BD">
        <w:rPr>
          <w:rFonts w:ascii="Times New Roman" w:eastAsia="Times New Roman" w:hAnsi="Times New Roman" w:cs="Times New Roman"/>
          <w:sz w:val="28"/>
          <w:szCs w:val="28"/>
          <w:lang w:eastAsia="uk-UA"/>
        </w:rPr>
        <w:t>1.8.2 здійснює методичну підтримку Учасників.</w:t>
      </w:r>
    </w:p>
    <w:p w:rsidR="000061A4" w:rsidRPr="000061A4" w:rsidRDefault="000061A4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>1.9</w:t>
      </w:r>
      <w:r w:rsidR="000E75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Учасники:</w:t>
      </w:r>
    </w:p>
    <w:p w:rsidR="000061A4" w:rsidRPr="000061A4" w:rsidRDefault="000061A4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1.9.1 здійснюють ведення Реєстру лише на території відповідного адміністративного району Кривого Рогу та підпорядкованого населеного пункту, </w:t>
      </w:r>
      <w:r w:rsidR="000B467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розташованого в цьому районі</w:t>
      </w: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61A4" w:rsidRPr="000061A4" w:rsidRDefault="000061A4" w:rsidP="000061A4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1.9.2 визначають перелік посадових осіб, які є внутрішніми користувачами, їх функціональні ролі та права доступу до Реєстру </w:t>
      </w:r>
      <w:r w:rsidR="000B4672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 адміністратору необхідну інформацію про них для реєстрації в ГІС;</w:t>
      </w:r>
    </w:p>
    <w:p w:rsidR="000061A4" w:rsidRPr="000061A4" w:rsidRDefault="000061A4" w:rsidP="00120CF5">
      <w:pPr>
        <w:pStyle w:val="a3"/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1A4">
        <w:rPr>
          <w:rFonts w:ascii="Times New Roman" w:eastAsia="Times New Roman" w:hAnsi="Times New Roman" w:cs="Times New Roman"/>
          <w:sz w:val="28"/>
          <w:szCs w:val="28"/>
          <w:lang w:eastAsia="uk-UA"/>
        </w:rPr>
        <w:t>1.9.3 контролюють та відповідають за достовірність, своєчасність і якість унесених даних внутрішніми користувачами.</w:t>
      </w:r>
    </w:p>
    <w:p w:rsidR="00EE35CF" w:rsidRPr="000061A4" w:rsidRDefault="00397D88" w:rsidP="00120CF5">
      <w:pPr>
        <w:pStyle w:val="a3"/>
        <w:spacing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"/>
        </w:rPr>
      </w:pPr>
      <w:r w:rsidRPr="000061A4">
        <w:rPr>
          <w:rFonts w:ascii="Times New Roman" w:hAnsi="Times New Roman" w:cs="Times New Roman"/>
          <w:sz w:val="28"/>
          <w:szCs w:val="28"/>
          <w:lang w:val="uk"/>
        </w:rPr>
        <w:t>1.10</w:t>
      </w:r>
      <w:r w:rsidR="009C22FB" w:rsidRPr="000061A4">
        <w:rPr>
          <w:rFonts w:ascii="Times New Roman" w:hAnsi="Times New Roman" w:cs="Times New Roman"/>
          <w:sz w:val="28"/>
          <w:szCs w:val="28"/>
          <w:lang w:val="uk"/>
        </w:rPr>
        <w:t>.</w:t>
      </w:r>
      <w:r w:rsidR="00067B15" w:rsidRPr="000061A4">
        <w:rPr>
          <w:rFonts w:ascii="Times New Roman" w:hAnsi="Times New Roman" w:cs="Times New Roman"/>
          <w:sz w:val="28"/>
          <w:szCs w:val="28"/>
          <w:lang w:val="uk" w:eastAsia="uk-UA"/>
        </w:rPr>
        <w:t xml:space="preserve"> </w:t>
      </w:r>
      <w:r w:rsidRPr="000061A4">
        <w:rPr>
          <w:rFonts w:ascii="Times New Roman" w:hAnsi="Times New Roman" w:cs="Times New Roman"/>
          <w:sz w:val="28"/>
          <w:szCs w:val="28"/>
          <w:lang w:val="uk" w:eastAsia="uk-UA"/>
        </w:rPr>
        <w:t>Доступ фізичних та юридичних осіб до даних Реєстру забезпечується у відповідності до Закону України «Про доступ до публічної інформації».</w:t>
      </w:r>
    </w:p>
    <w:p w:rsidR="00EE35CF" w:rsidRDefault="00EE35CF" w:rsidP="000061A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Структура </w:t>
      </w:r>
      <w:r w:rsidR="000B4672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7925B9">
        <w:rPr>
          <w:rFonts w:ascii="Times New Roman" w:eastAsia="Times New Roman" w:hAnsi="Times New Roman" w:cs="Times New Roman"/>
          <w:b/>
          <w:i/>
          <w:sz w:val="28"/>
          <w:szCs w:val="28"/>
        </w:rPr>
        <w:t>еєстру</w:t>
      </w:r>
    </w:p>
    <w:p w:rsidR="00027EA3" w:rsidRDefault="00027EA3" w:rsidP="000061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7EA3" w:rsidRDefault="00027EA3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Реєстр складається з таких розділів:</w:t>
      </w:r>
    </w:p>
    <w:p w:rsidR="00027EA3" w:rsidRDefault="00236E7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«Паспорти прив’язки 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7EA3" w:rsidRDefault="00236E7E" w:rsidP="00227BD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67B1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FEA">
        <w:rPr>
          <w:rFonts w:ascii="Times New Roman" w:eastAsia="Times New Roman" w:hAnsi="Times New Roman" w:cs="Times New Roman"/>
          <w:sz w:val="28"/>
          <w:szCs w:val="28"/>
        </w:rPr>
        <w:t>«Договори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про надання тимчасового користування окремим елементом благоустрою комунальної власності або його частиною для розміщення тимчасової споруди».</w:t>
      </w:r>
    </w:p>
    <w:p w:rsidR="00027EA3" w:rsidRDefault="00027EA3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C62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«Паспорти прив’язки тимчасових споруд»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містить дані:</w:t>
      </w:r>
    </w:p>
    <w:p w:rsidR="00027EA3" w:rsidRDefault="006C629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назва тимчасової споруди;</w:t>
      </w:r>
    </w:p>
    <w:p w:rsidR="00027EA3" w:rsidRDefault="006C629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найменування суб’єкта господарювання;</w:t>
      </w:r>
    </w:p>
    <w:p w:rsidR="00027EA3" w:rsidRDefault="006C629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реєстраційний номер;</w:t>
      </w:r>
    </w:p>
    <w:p w:rsidR="00027EA3" w:rsidRDefault="006C629E" w:rsidP="008934B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дата видачі паспорт</w:t>
      </w:r>
      <w:r w:rsidR="000E75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тимчасової споруди;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 </w:t>
      </w:r>
      <w:r w:rsidR="00227BDC">
        <w:rPr>
          <w:rFonts w:ascii="Times New Roman" w:eastAsia="Times New Roman" w:hAnsi="Times New Roman" w:cs="Times New Roman"/>
          <w:sz w:val="28"/>
          <w:szCs w:val="28"/>
        </w:rPr>
        <w:t xml:space="preserve">термін </w:t>
      </w:r>
      <w:r w:rsidR="007925B9">
        <w:rPr>
          <w:rFonts w:ascii="Times New Roman" w:eastAsia="Times New Roman" w:hAnsi="Times New Roman" w:cs="Times New Roman"/>
          <w:sz w:val="28"/>
          <w:szCs w:val="28"/>
        </w:rPr>
        <w:t>дійсності</w:t>
      </w:r>
      <w:r w:rsidR="0022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227BDC">
        <w:rPr>
          <w:rFonts w:ascii="Times New Roman" w:eastAsia="Times New Roman" w:hAnsi="Times New Roman" w:cs="Times New Roman"/>
          <w:sz w:val="28"/>
          <w:szCs w:val="28"/>
        </w:rPr>
        <w:t>а прив’язки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2.2.6 </w:t>
      </w:r>
      <w:r w:rsidR="00227BDC">
        <w:rPr>
          <w:rFonts w:ascii="Times New Roman" w:eastAsia="Times New Roman" w:hAnsi="Times New Roman" w:cs="Times New Roman"/>
          <w:sz w:val="28"/>
          <w:szCs w:val="28"/>
        </w:rPr>
        <w:t xml:space="preserve">термін продовження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227B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прив’язки;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2.2.7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місце розташування тимчасової споруди;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2.2.8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площа тимчасової споруди, кв.м;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2.2.9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архітип тимчасової споруди;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 скан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копія паспорт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прив’язки тимчасової споруди;</w:t>
      </w:r>
    </w:p>
    <w:p w:rsidR="00027EA3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2.2.11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236E7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 xml:space="preserve"> комплексній схемі;</w:t>
      </w:r>
    </w:p>
    <w:p w:rsidR="00027EA3" w:rsidRDefault="006C629E" w:rsidP="00227BD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2.2.12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точка на цифровій топографічній основі.</w:t>
      </w:r>
    </w:p>
    <w:p w:rsidR="00027EA3" w:rsidRDefault="00027EA3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7B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62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 </w:t>
      </w:r>
      <w:r w:rsidR="00C12FEA">
        <w:rPr>
          <w:rFonts w:ascii="Times New Roman" w:eastAsia="Times New Roman" w:hAnsi="Times New Roman" w:cs="Times New Roman"/>
          <w:b/>
          <w:sz w:val="28"/>
          <w:szCs w:val="28"/>
        </w:rPr>
        <w:t>«Договори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надання тимчасового користування окремим елементом благоустрою комунальної власності або його частиною для розміщення тимчасової споруди»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містить дані: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номер договору;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дата укладання договору;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строк дії договору;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найменування суб’єкта господарювання;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2.3.5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опис місцезнаходження;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2.3.6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площа земельної ділянки, кв.м;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2.3.7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вид функціонального призначення тимчасової споруди;</w:t>
      </w:r>
    </w:p>
    <w:p w:rsidR="00027EA3" w:rsidRDefault="006C629E" w:rsidP="00C461B9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2.3.8 </w:t>
      </w:r>
      <w:r w:rsidR="00027EA3">
        <w:rPr>
          <w:rFonts w:ascii="Times New Roman" w:eastAsia="Times New Roman" w:hAnsi="Times New Roman" w:cs="Times New Roman"/>
          <w:sz w:val="28"/>
          <w:szCs w:val="28"/>
        </w:rPr>
        <w:t>паспорт прив’язки тимчасової споруди;</w:t>
      </w:r>
    </w:p>
    <w:p w:rsidR="00FA61BB" w:rsidRDefault="006C629E" w:rsidP="00C461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2.3.9</w:t>
      </w:r>
      <w:r w:rsidR="0056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EA3">
        <w:rPr>
          <w:rFonts w:ascii="Times New Roman" w:hAnsi="Times New Roman"/>
          <w:sz w:val="28"/>
          <w:szCs w:val="28"/>
        </w:rPr>
        <w:t>розмір плати за право</w:t>
      </w:r>
      <w:r w:rsidR="0056736F">
        <w:rPr>
          <w:rFonts w:ascii="Times New Roman" w:hAnsi="Times New Roman"/>
          <w:sz w:val="28"/>
          <w:szCs w:val="28"/>
        </w:rPr>
        <w:t xml:space="preserve"> </w:t>
      </w:r>
      <w:r w:rsidR="00027EA3">
        <w:rPr>
          <w:rFonts w:ascii="Times New Roman" w:hAnsi="Times New Roman"/>
          <w:sz w:val="28"/>
          <w:szCs w:val="28"/>
        </w:rPr>
        <w:t>тимчасового</w:t>
      </w:r>
      <w:r w:rsidR="0056736F">
        <w:rPr>
          <w:rFonts w:ascii="Times New Roman" w:hAnsi="Times New Roman"/>
          <w:sz w:val="28"/>
          <w:szCs w:val="28"/>
        </w:rPr>
        <w:t xml:space="preserve"> </w:t>
      </w:r>
      <w:r w:rsidR="00027EA3">
        <w:rPr>
          <w:rFonts w:ascii="Times New Roman" w:hAnsi="Times New Roman"/>
          <w:sz w:val="28"/>
          <w:szCs w:val="28"/>
        </w:rPr>
        <w:t>користування</w:t>
      </w:r>
      <w:r w:rsidR="0056736F">
        <w:rPr>
          <w:rFonts w:ascii="Times New Roman" w:hAnsi="Times New Roman"/>
          <w:sz w:val="28"/>
          <w:szCs w:val="28"/>
        </w:rPr>
        <w:t xml:space="preserve"> </w:t>
      </w:r>
      <w:r w:rsidR="00027EA3">
        <w:rPr>
          <w:rFonts w:ascii="Times New Roman" w:hAnsi="Times New Roman"/>
          <w:sz w:val="28"/>
          <w:szCs w:val="28"/>
        </w:rPr>
        <w:t>елементом благоустрою</w:t>
      </w:r>
      <w:r w:rsidR="00211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0C3B" w:rsidRPr="00620C3B">
        <w:rPr>
          <w:rFonts w:ascii="Times New Roman" w:eastAsia="Times New Roman" w:hAnsi="Times New Roman" w:cs="Times New Roman"/>
          <w:sz w:val="28"/>
          <w:szCs w:val="28"/>
        </w:rPr>
        <w:t>у національній валюті – гривні.</w:t>
      </w:r>
    </w:p>
    <w:p w:rsidR="00FA61BB" w:rsidRDefault="00FA61BB" w:rsidP="000061A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1BB" w:rsidRPr="00FA61BB" w:rsidRDefault="00FA61BB" w:rsidP="000061A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6F8" w:rsidRDefault="00A166F8" w:rsidP="000061A4">
      <w:pPr>
        <w:spacing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7EA3" w:rsidRPr="00D8149F" w:rsidRDefault="001A1E01" w:rsidP="000061A4">
      <w:pPr>
        <w:spacing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Керуюча </w:t>
      </w:r>
      <w:r w:rsidR="00027EA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справами виконкому</w:t>
      </w:r>
      <w:r w:rsidR="00D814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027EA3" w:rsidRPr="00D8149F" w:rsidSect="00225D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4A" w:rsidRDefault="0007664A" w:rsidP="00225D70">
      <w:pPr>
        <w:spacing w:after="0" w:line="240" w:lineRule="auto"/>
      </w:pPr>
      <w:r>
        <w:separator/>
      </w:r>
    </w:p>
  </w:endnote>
  <w:endnote w:type="continuationSeparator" w:id="0">
    <w:p w:rsidR="0007664A" w:rsidRDefault="0007664A" w:rsidP="0022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4A" w:rsidRDefault="0007664A" w:rsidP="00225D70">
      <w:pPr>
        <w:spacing w:after="0" w:line="240" w:lineRule="auto"/>
      </w:pPr>
      <w:r>
        <w:separator/>
      </w:r>
    </w:p>
  </w:footnote>
  <w:footnote w:type="continuationSeparator" w:id="0">
    <w:p w:rsidR="0007664A" w:rsidRDefault="0007664A" w:rsidP="0022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47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5D70" w:rsidRPr="00225D70" w:rsidRDefault="00225D70" w:rsidP="00225D7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D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D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D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113" w:rsidRPr="003D711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25D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5D70" w:rsidRDefault="00225D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9F2"/>
    <w:multiLevelType w:val="multilevel"/>
    <w:tmpl w:val="FDCAFA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 w15:restartNumberingAfterBreak="0">
    <w:nsid w:val="31FB27E7"/>
    <w:multiLevelType w:val="multilevel"/>
    <w:tmpl w:val="E5C8EE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5A8248F"/>
    <w:multiLevelType w:val="multilevel"/>
    <w:tmpl w:val="8CAC40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F9C1714"/>
    <w:multiLevelType w:val="multilevel"/>
    <w:tmpl w:val="0E8C76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FC651EC"/>
    <w:multiLevelType w:val="multilevel"/>
    <w:tmpl w:val="2286B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6D"/>
    <w:rsid w:val="000061A4"/>
    <w:rsid w:val="00027EA3"/>
    <w:rsid w:val="00052C38"/>
    <w:rsid w:val="00067B15"/>
    <w:rsid w:val="0007664A"/>
    <w:rsid w:val="000838DE"/>
    <w:rsid w:val="00093B91"/>
    <w:rsid w:val="00097EA2"/>
    <w:rsid w:val="000B4672"/>
    <w:rsid w:val="000E75DE"/>
    <w:rsid w:val="000F2638"/>
    <w:rsid w:val="0010627E"/>
    <w:rsid w:val="001166A6"/>
    <w:rsid w:val="00120CF5"/>
    <w:rsid w:val="00126648"/>
    <w:rsid w:val="00146D94"/>
    <w:rsid w:val="00183A37"/>
    <w:rsid w:val="001A1E01"/>
    <w:rsid w:val="001C6FD9"/>
    <w:rsid w:val="001E1DE3"/>
    <w:rsid w:val="00200AAE"/>
    <w:rsid w:val="002117DC"/>
    <w:rsid w:val="00225D70"/>
    <w:rsid w:val="002261B9"/>
    <w:rsid w:val="00227BDC"/>
    <w:rsid w:val="00235524"/>
    <w:rsid w:val="00236E7E"/>
    <w:rsid w:val="00244F99"/>
    <w:rsid w:val="002D684D"/>
    <w:rsid w:val="003034D6"/>
    <w:rsid w:val="003060D6"/>
    <w:rsid w:val="00397D88"/>
    <w:rsid w:val="003D7113"/>
    <w:rsid w:val="003E0D3F"/>
    <w:rsid w:val="00432DFA"/>
    <w:rsid w:val="00434A86"/>
    <w:rsid w:val="00445743"/>
    <w:rsid w:val="00464562"/>
    <w:rsid w:val="004821EC"/>
    <w:rsid w:val="005168E3"/>
    <w:rsid w:val="00537089"/>
    <w:rsid w:val="0056736F"/>
    <w:rsid w:val="00580CAB"/>
    <w:rsid w:val="00586A87"/>
    <w:rsid w:val="00597E9D"/>
    <w:rsid w:val="005B63A9"/>
    <w:rsid w:val="005C5385"/>
    <w:rsid w:val="00620C3B"/>
    <w:rsid w:val="00647759"/>
    <w:rsid w:val="006C629E"/>
    <w:rsid w:val="007114CC"/>
    <w:rsid w:val="00721F95"/>
    <w:rsid w:val="00767985"/>
    <w:rsid w:val="007925B9"/>
    <w:rsid w:val="007F3CB9"/>
    <w:rsid w:val="007F7CC8"/>
    <w:rsid w:val="00825D79"/>
    <w:rsid w:val="00856D8D"/>
    <w:rsid w:val="008934B2"/>
    <w:rsid w:val="008E199F"/>
    <w:rsid w:val="0090453E"/>
    <w:rsid w:val="009105F6"/>
    <w:rsid w:val="0096772D"/>
    <w:rsid w:val="0099254E"/>
    <w:rsid w:val="009A10BD"/>
    <w:rsid w:val="009B3232"/>
    <w:rsid w:val="009C22FB"/>
    <w:rsid w:val="009D1A34"/>
    <w:rsid w:val="009F621D"/>
    <w:rsid w:val="00A12ADB"/>
    <w:rsid w:val="00A12E94"/>
    <w:rsid w:val="00A166F8"/>
    <w:rsid w:val="00AB49A7"/>
    <w:rsid w:val="00AF696D"/>
    <w:rsid w:val="00B56B7A"/>
    <w:rsid w:val="00B8064D"/>
    <w:rsid w:val="00C014BC"/>
    <w:rsid w:val="00C12FEA"/>
    <w:rsid w:val="00C168A1"/>
    <w:rsid w:val="00C461B9"/>
    <w:rsid w:val="00C90042"/>
    <w:rsid w:val="00CB6286"/>
    <w:rsid w:val="00CC1D70"/>
    <w:rsid w:val="00D36763"/>
    <w:rsid w:val="00D65F95"/>
    <w:rsid w:val="00D74EA9"/>
    <w:rsid w:val="00D8149F"/>
    <w:rsid w:val="00D86718"/>
    <w:rsid w:val="00D964D4"/>
    <w:rsid w:val="00DD1B8D"/>
    <w:rsid w:val="00E46461"/>
    <w:rsid w:val="00EE35CF"/>
    <w:rsid w:val="00F059EF"/>
    <w:rsid w:val="00F81484"/>
    <w:rsid w:val="00F93251"/>
    <w:rsid w:val="00FA61BB"/>
    <w:rsid w:val="00FA74FE"/>
    <w:rsid w:val="00FE5924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B416"/>
  <w15:docId w15:val="{AC7EA544-5698-41BE-82F4-B57E37A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A3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D70"/>
    <w:rPr>
      <w:rFonts w:ascii="Calibri" w:eastAsia="Calibri" w:hAnsi="Calibri" w:cs="Calibri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2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D70"/>
    <w:rPr>
      <w:rFonts w:ascii="Calibri" w:eastAsia="Calibri" w:hAnsi="Calibri" w:cs="Calibri"/>
      <w:lang w:val="uk-UA" w:eastAsia="ru-RU"/>
    </w:rPr>
  </w:style>
  <w:style w:type="paragraph" w:styleId="a8">
    <w:name w:val="Normal (Web)"/>
    <w:basedOn w:val="a"/>
    <w:uiPriority w:val="99"/>
    <w:unhideWhenUsed/>
    <w:rsid w:val="0018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3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763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8A00-FB7E-4E77-AE3C-C06E0A0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zagalny301_2</cp:lastModifiedBy>
  <cp:revision>75</cp:revision>
  <cp:lastPrinted>2022-09-20T13:17:00Z</cp:lastPrinted>
  <dcterms:created xsi:type="dcterms:W3CDTF">2022-09-09T06:36:00Z</dcterms:created>
  <dcterms:modified xsi:type="dcterms:W3CDTF">2022-09-30T12:14:00Z</dcterms:modified>
</cp:coreProperties>
</file>