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F1408" w14:textId="77777777" w:rsidR="008B4A96" w:rsidRDefault="008B4A96">
      <w:pPr>
        <w:tabs>
          <w:tab w:val="left" w:pos="5812"/>
        </w:tabs>
        <w:spacing w:after="0" w:line="240" w:lineRule="auto"/>
        <w:ind w:left="5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F7D722F" w14:textId="1A924CE5" w:rsidR="006B4DB1" w:rsidRDefault="00EC1E92" w:rsidP="006B4DB1">
      <w:pPr>
        <w:tabs>
          <w:tab w:val="left" w:pos="5812"/>
        </w:tabs>
        <w:spacing w:after="0" w:line="240" w:lineRule="auto"/>
        <w:ind w:left="5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ЗАТВЕРДЖЕНО</w:t>
      </w:r>
    </w:p>
    <w:p w14:paraId="299D77B4" w14:textId="77777777" w:rsidR="006B4DB1" w:rsidRDefault="006B4DB1">
      <w:pPr>
        <w:tabs>
          <w:tab w:val="left" w:pos="5812"/>
        </w:tabs>
        <w:spacing w:after="0" w:line="240" w:lineRule="auto"/>
        <w:ind w:left="5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1B" w14:textId="3ED02AC6" w:rsidR="009D09A1" w:rsidRDefault="006B4DB1">
      <w:pPr>
        <w:tabs>
          <w:tab w:val="left" w:pos="5812"/>
        </w:tabs>
        <w:spacing w:after="0" w:line="240" w:lineRule="auto"/>
        <w:ind w:left="5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Рішення виконкому міської ради </w:t>
      </w:r>
    </w:p>
    <w:p w14:paraId="528120B2" w14:textId="10693A47" w:rsidR="006B4DB1" w:rsidRPr="00434267" w:rsidRDefault="00434267">
      <w:pPr>
        <w:tabs>
          <w:tab w:val="left" w:pos="5812"/>
        </w:tabs>
        <w:spacing w:after="0" w:line="240" w:lineRule="auto"/>
        <w:ind w:left="572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bookmarkStart w:id="0" w:name="_GoBack"/>
      <w:r w:rsidRPr="0043426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28.09.2022 №773</w:t>
      </w:r>
    </w:p>
    <w:bookmarkEnd w:id="0"/>
    <w:p w14:paraId="0000001C" w14:textId="77777777" w:rsidR="009D09A1" w:rsidRDefault="009D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1D" w14:textId="77777777" w:rsidR="009D09A1" w:rsidRDefault="00EC1E92" w:rsidP="006B4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</w:t>
      </w:r>
    </w:p>
    <w:p w14:paraId="11186023" w14:textId="77777777" w:rsidR="006B4DB1" w:rsidRDefault="00EC1E92" w:rsidP="006B4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формування та ведення містобудівного </w:t>
      </w:r>
    </w:p>
    <w:p w14:paraId="0000001F" w14:textId="68DE0CC9" w:rsidR="009D09A1" w:rsidRDefault="00EC1E92" w:rsidP="006B4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кадастру</w:t>
      </w:r>
      <w:r w:rsidR="006B4D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геоінформаційної системи м. Кривого Рогу</w:t>
      </w:r>
    </w:p>
    <w:p w14:paraId="00000020" w14:textId="77777777" w:rsidR="009D09A1" w:rsidRDefault="009D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21" w14:textId="5311D2D7" w:rsidR="009D09A1" w:rsidRPr="000E1ABA" w:rsidRDefault="00EC1E92" w:rsidP="000E1ABA">
      <w:pPr>
        <w:pStyle w:val="a5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ABA">
        <w:rPr>
          <w:rFonts w:ascii="Times New Roman" w:eastAsia="Times New Roman" w:hAnsi="Times New Roman" w:cs="Times New Roman"/>
          <w:b/>
          <w:i/>
          <w:sz w:val="28"/>
          <w:szCs w:val="28"/>
        </w:rPr>
        <w:t>Загальні положення</w:t>
      </w:r>
    </w:p>
    <w:p w14:paraId="722A126D" w14:textId="77777777" w:rsidR="000E1ABA" w:rsidRPr="000E1ABA" w:rsidRDefault="000E1ABA" w:rsidP="000E1AB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22" w14:textId="1DBCF9CD" w:rsidR="009D09A1" w:rsidRDefault="00EC1E92" w:rsidP="00DA2B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Порядок формування та ведення містобудівного кадастру геоінформаційної системи м. Кривого Рогу (надалі – Порядок) розроблений на виконання рішення 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r w:rsidR="000A26EC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від 16.02.2022 №</w:t>
      </w:r>
      <w:r>
        <w:rPr>
          <w:rFonts w:ascii="Times New Roman" w:eastAsia="Times New Roman" w:hAnsi="Times New Roman" w:cs="Times New Roman"/>
          <w:sz w:val="28"/>
          <w:szCs w:val="28"/>
        </w:rPr>
        <w:t>101 «Про затвердження Положення про геоінформаційну сис</w:t>
      </w:r>
      <w:r w:rsidR="007A56B2">
        <w:rPr>
          <w:rFonts w:ascii="Times New Roman" w:eastAsia="Times New Roman" w:hAnsi="Times New Roman" w:cs="Times New Roman"/>
          <w:sz w:val="28"/>
          <w:szCs w:val="28"/>
        </w:rPr>
        <w:t>тему м. Кривого Рогу»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з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>абезпечення нормативно-</w:t>
      </w:r>
      <w:r w:rsidR="00402962">
        <w:rPr>
          <w:rFonts w:ascii="Times New Roman" w:eastAsia="Times New Roman" w:hAnsi="Times New Roman" w:cs="Times New Roman"/>
          <w:sz w:val="28"/>
          <w:szCs w:val="28"/>
        </w:rPr>
        <w:t xml:space="preserve">правової бази, 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>що</w:t>
      </w:r>
      <w:r w:rsidR="00402962">
        <w:rPr>
          <w:rFonts w:ascii="Times New Roman" w:eastAsia="Times New Roman" w:hAnsi="Times New Roman" w:cs="Times New Roman"/>
          <w:sz w:val="28"/>
          <w:szCs w:val="28"/>
        </w:rPr>
        <w:t xml:space="preserve"> регулює питання його функціонування,</w:t>
      </w:r>
      <w:r w:rsidR="004237E0">
        <w:rPr>
          <w:rFonts w:ascii="Times New Roman" w:eastAsia="Times New Roman" w:hAnsi="Times New Roman" w:cs="Times New Roman"/>
          <w:sz w:val="28"/>
          <w:szCs w:val="28"/>
        </w:rPr>
        <w:t xml:space="preserve"> зокрема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 xml:space="preserve"> взаємодії </w:t>
      </w:r>
      <w:r w:rsidR="004237E0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 xml:space="preserve">підрозділами місцевих органів </w:t>
      </w:r>
      <w:r>
        <w:rPr>
          <w:rFonts w:ascii="Times New Roman" w:eastAsia="Times New Roman" w:hAnsi="Times New Roman" w:cs="Times New Roman"/>
          <w:sz w:val="28"/>
          <w:szCs w:val="28"/>
        </w:rPr>
        <w:t>виконавчої  влади  та органів місцевого самоврядування.</w:t>
      </w:r>
    </w:p>
    <w:p w14:paraId="00000025" w14:textId="6377AD06" w:rsidR="009D09A1" w:rsidRDefault="00EC1E92" w:rsidP="006B4DB1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Містобудівний кадастр –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 xml:space="preserve"> комунальна система зберігання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використання геопросторових даних про територію, адміністративно-територіальні одиниці, екологічні, інженерно-геологічні умови, будівельну діяльність, інформаційних ресурсів будівельних норм і правил для задоволення інформаційних потреб у плануванні територій та будівництві, формування галузевої складової державних геоінформаційних ресурсів. </w:t>
      </w:r>
      <w:r w:rsidR="006C48F4" w:rsidRPr="006C48F4">
        <w:rPr>
          <w:rFonts w:ascii="Times New Roman" w:eastAsia="Times New Roman" w:hAnsi="Times New Roman" w:cs="Times New Roman"/>
          <w:sz w:val="28"/>
          <w:szCs w:val="28"/>
        </w:rPr>
        <w:t xml:space="preserve">Єдина державна електронна система у сфері будівництва інтегрується та є складовою частиною містобудівного 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8F4" w:rsidRPr="006C48F4">
        <w:rPr>
          <w:rFonts w:ascii="Times New Roman" w:eastAsia="Times New Roman" w:hAnsi="Times New Roman" w:cs="Times New Roman"/>
          <w:sz w:val="28"/>
          <w:szCs w:val="28"/>
        </w:rPr>
        <w:t>кадастру.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Містобудівний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кадастр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геоінформаційної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системи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Кривого Рогу</w:t>
      </w:r>
      <w:r w:rsidR="006B0079">
        <w:rPr>
          <w:rFonts w:ascii="Times New Roman" w:eastAsia="Times New Roman" w:hAnsi="Times New Roman" w:cs="Times New Roman"/>
          <w:sz w:val="28"/>
          <w:szCs w:val="28"/>
        </w:rPr>
        <w:t xml:space="preserve"> (надалі – ГІС)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ведеться з у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>рахуванням даних Д</w:t>
      </w:r>
      <w:r>
        <w:rPr>
          <w:rFonts w:ascii="Times New Roman" w:eastAsia="Times New Roman" w:hAnsi="Times New Roman" w:cs="Times New Roman"/>
          <w:sz w:val="28"/>
          <w:szCs w:val="28"/>
        </w:rPr>
        <w:t>ержавного земельного кадастру на рівні міст обласного значення.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Містобудівний кадастр включає геопросторові дані, метадані та сервіси, оприлюднення, інша діяльність з якими 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>та доступ до яких здійснюються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мережі Інтернет згідно із </w:t>
      </w:r>
      <w:hyperlink r:id="rId8" w:anchor="n2">
        <w:r>
          <w:rPr>
            <w:rFonts w:ascii="Times New Roman" w:eastAsia="Times New Roman" w:hAnsi="Times New Roman" w:cs="Times New Roman"/>
            <w:sz w:val="28"/>
            <w:szCs w:val="28"/>
          </w:rPr>
          <w:t>Законом України</w:t>
        </w:r>
      </w:hyperlink>
      <w:r w:rsidR="000A26E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Про національну інфр</w:t>
      </w:r>
      <w:r w:rsidR="000A26EC">
        <w:rPr>
          <w:rFonts w:ascii="Times New Roman" w:eastAsia="Times New Roman" w:hAnsi="Times New Roman" w:cs="Times New Roman"/>
          <w:sz w:val="28"/>
          <w:szCs w:val="28"/>
        </w:rPr>
        <w:t>аструктуру геопросторових даних»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6" w14:textId="02CF9106" w:rsidR="009D09A1" w:rsidRDefault="00EC1E92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Основною метою  створення містобудівного кадастру ГІС є підвищення якості й ефективності інформаційної підтримки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 xml:space="preserve"> ухвалення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управлінських рішень органами місцевого самоврядуван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>ня щодо сталого розвитку міста й</w:t>
      </w:r>
      <w:r w:rsidR="00205023">
        <w:rPr>
          <w:rFonts w:ascii="Times New Roman" w:eastAsia="Times New Roman" w:hAnsi="Times New Roman" w:cs="Times New Roman"/>
          <w:sz w:val="28"/>
          <w:szCs w:val="28"/>
        </w:rPr>
        <w:t xml:space="preserve"> громади,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задоволення інформаційних потреб у сфері містобудівної діяльності організацій, підпр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>иємств, громадських об'єднань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громадян на основі формування, інте</w:t>
      </w:r>
      <w:r w:rsidR="006B4DB1">
        <w:rPr>
          <w:rFonts w:ascii="Times New Roman" w:eastAsia="Times New Roman" w:hAnsi="Times New Roman" w:cs="Times New Roman"/>
          <w:sz w:val="28"/>
          <w:szCs w:val="28"/>
        </w:rPr>
        <w:t>грування, постійного оновлення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ефективного використання геоінформаційних ресурсів про територію міста із застосуванням сучасних геоінформаційних технологій.</w:t>
      </w:r>
    </w:p>
    <w:p w14:paraId="00000027" w14:textId="4C864B62" w:rsidR="009D09A1" w:rsidRDefault="006B4DB1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У</w:t>
      </w:r>
      <w:r w:rsidR="005D3EE4">
        <w:rPr>
          <w:rFonts w:ascii="Times New Roman" w:eastAsia="Times New Roman" w:hAnsi="Times New Roman" w:cs="Times New Roman"/>
          <w:sz w:val="28"/>
          <w:szCs w:val="28"/>
        </w:rPr>
        <w:t xml:space="preserve"> Порядку терміни вживаються в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такому значенні:</w:t>
      </w:r>
    </w:p>
    <w:p w14:paraId="5F6A3EA5" w14:textId="61A64606" w:rsidR="00D44895" w:rsidRDefault="000A26EC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1.4.1 Адміністратор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Комунальне підприємство «Центр електронних послуг</w:t>
      </w:r>
      <w:r w:rsidR="005D3EE4">
        <w:rPr>
          <w:rFonts w:ascii="Times New Roman" w:eastAsia="Times New Roman" w:hAnsi="Times New Roman" w:cs="Times New Roman"/>
          <w:sz w:val="28"/>
          <w:szCs w:val="28"/>
        </w:rPr>
        <w:t>» Криворізької міської ради, що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відповідає за технічне, технологічне та п</w:t>
      </w:r>
      <w:r w:rsidR="005D3EE4">
        <w:rPr>
          <w:rFonts w:ascii="Times New Roman" w:eastAsia="Times New Roman" w:hAnsi="Times New Roman" w:cs="Times New Roman"/>
          <w:sz w:val="28"/>
          <w:szCs w:val="28"/>
        </w:rPr>
        <w:t>рограмне забезпечення, захист і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збереження даних містобудівного кадастру геоінформ</w:t>
      </w:r>
      <w:r>
        <w:rPr>
          <w:rFonts w:ascii="Times New Roman" w:eastAsia="Times New Roman" w:hAnsi="Times New Roman" w:cs="Times New Roman"/>
          <w:sz w:val="28"/>
          <w:szCs w:val="28"/>
        </w:rPr>
        <w:t>аційної системи м. Кривого Рогу;</w:t>
      </w:r>
    </w:p>
    <w:p w14:paraId="2CF1E7CE" w14:textId="5756A70C" w:rsidR="00A55F95" w:rsidRDefault="00A55F95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1.4.2 Розпорядник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 регулювання містобудівної діяльності та</w:t>
      </w:r>
    </w:p>
    <w:p w14:paraId="558D950C" w14:textId="26A7931B" w:rsidR="00D44895" w:rsidRDefault="00A55F95" w:rsidP="00DA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земельних  відносин  виконкому  Криворізької  міської  ради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уповноважений </w:t>
      </w:r>
    </w:p>
    <w:p w14:paraId="00000029" w14:textId="3F544AF4" w:rsidR="009D09A1" w:rsidRDefault="00EC1E92" w:rsidP="00A55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 містобудування та архітектури, яким</w:t>
      </w:r>
      <w:r w:rsidR="000A26EC">
        <w:rPr>
          <w:rFonts w:ascii="Times New Roman" w:eastAsia="Times New Roman" w:hAnsi="Times New Roman" w:cs="Times New Roman"/>
          <w:sz w:val="28"/>
          <w:szCs w:val="28"/>
        </w:rPr>
        <w:t xml:space="preserve"> ведеться містобудівний кадастр;</w:t>
      </w:r>
    </w:p>
    <w:p w14:paraId="0000002A" w14:textId="760CBB4B" w:rsidR="009D09A1" w:rsidRDefault="00A55F95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1.4.3 р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озділ  – це офіційна електронна база даних, що ведеться з метою збирання, зберігання, захисту, обліку, пошуку, узагальнення даних про різні сфери життєдіяльності Криворізької міської територіальної громади </w:t>
      </w:r>
      <w:r w:rsidR="005D3EE4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може мати графічну, текстову або табличну складову, що відображається в геопорталі.</w:t>
      </w:r>
    </w:p>
    <w:p w14:paraId="0000002B" w14:textId="17B0DB47" w:rsidR="009D09A1" w:rsidRPr="002F0E19" w:rsidRDefault="005D3EE4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Інші терміни в Порядку вживаються в значенні, наведеному в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E92" w:rsidRPr="002F0E19">
        <w:rPr>
          <w:rFonts w:ascii="Times New Roman" w:eastAsia="Times New Roman" w:hAnsi="Times New Roman" w:cs="Times New Roman"/>
          <w:sz w:val="28"/>
          <w:szCs w:val="28"/>
        </w:rPr>
        <w:t>Зе</w:t>
      </w:r>
      <w:r w:rsidRPr="002F0E19">
        <w:rPr>
          <w:rFonts w:ascii="Times New Roman" w:eastAsia="Times New Roman" w:hAnsi="Times New Roman" w:cs="Times New Roman"/>
          <w:sz w:val="28"/>
          <w:szCs w:val="28"/>
        </w:rPr>
        <w:t>мельному кодексі України, Законах</w:t>
      </w:r>
      <w:r w:rsidR="00EC1E92" w:rsidRPr="002F0E19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регулювання містобудівної діяльності», «Про національну інфраст</w:t>
      </w:r>
      <w:r w:rsidR="000E1ABA" w:rsidRPr="002F0E19">
        <w:rPr>
          <w:rFonts w:ascii="Times New Roman" w:eastAsia="Times New Roman" w:hAnsi="Times New Roman" w:cs="Times New Roman"/>
          <w:sz w:val="28"/>
          <w:szCs w:val="28"/>
        </w:rPr>
        <w:t>руктуру геопросторових даних», П</w:t>
      </w:r>
      <w:r w:rsidR="00EC1E92" w:rsidRPr="002F0E19">
        <w:rPr>
          <w:rFonts w:ascii="Times New Roman" w:eastAsia="Times New Roman" w:hAnsi="Times New Roman" w:cs="Times New Roman"/>
          <w:sz w:val="28"/>
          <w:szCs w:val="28"/>
        </w:rPr>
        <w:t>останов</w:t>
      </w:r>
      <w:r w:rsidRPr="002F0E19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EC1E92" w:rsidRPr="002F0E19">
        <w:rPr>
          <w:rFonts w:ascii="Times New Roman" w:eastAsia="Times New Roman" w:hAnsi="Times New Roman" w:cs="Times New Roman"/>
          <w:sz w:val="28"/>
          <w:szCs w:val="28"/>
        </w:rPr>
        <w:t xml:space="preserve"> Каб</w:t>
      </w:r>
      <w:r w:rsidR="000A26EC" w:rsidRPr="002F0E19">
        <w:rPr>
          <w:rFonts w:ascii="Times New Roman" w:eastAsia="Times New Roman" w:hAnsi="Times New Roman" w:cs="Times New Roman"/>
          <w:sz w:val="28"/>
          <w:szCs w:val="28"/>
        </w:rPr>
        <w:t xml:space="preserve">інету Міністрів України від </w:t>
      </w:r>
      <w:r w:rsidR="002F0E19" w:rsidRPr="002F0E19">
        <w:rPr>
          <w:rFonts w:ascii="Times New Roman" w:eastAsia="Times New Roman" w:hAnsi="Times New Roman" w:cs="Times New Roman"/>
          <w:sz w:val="28"/>
          <w:szCs w:val="28"/>
        </w:rPr>
        <w:t>25 травня 2011 року №559 «Про містобудівний кадастр»</w:t>
      </w:r>
      <w:r w:rsidR="002F0E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0E19" w:rsidRPr="002F0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6EC" w:rsidRPr="002F0E19">
        <w:rPr>
          <w:rFonts w:ascii="Times New Roman" w:eastAsia="Times New Roman" w:hAnsi="Times New Roman" w:cs="Times New Roman"/>
          <w:sz w:val="28"/>
          <w:szCs w:val="28"/>
        </w:rPr>
        <w:t xml:space="preserve">21 жовтня </w:t>
      </w:r>
      <w:r w:rsidR="00EC1E92" w:rsidRPr="002F0E19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0A26EC" w:rsidRPr="002F0E19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EC1E92" w:rsidRPr="002F0E19">
        <w:rPr>
          <w:rFonts w:ascii="Times New Roman" w:eastAsia="Times New Roman" w:hAnsi="Times New Roman" w:cs="Times New Roman"/>
          <w:sz w:val="28"/>
          <w:szCs w:val="28"/>
        </w:rPr>
        <w:t xml:space="preserve"> №835 «Про затвердження Положення про набори даних, які підлягають оприлюдненню у фо</w:t>
      </w:r>
      <w:r w:rsidRPr="002F0E19">
        <w:rPr>
          <w:rFonts w:ascii="Times New Roman" w:eastAsia="Times New Roman" w:hAnsi="Times New Roman" w:cs="Times New Roman"/>
          <w:sz w:val="28"/>
          <w:szCs w:val="28"/>
        </w:rPr>
        <w:t>рмі відкритих даних»,</w:t>
      </w:r>
      <w:r w:rsidR="000A26EC" w:rsidRPr="002F0E19">
        <w:rPr>
          <w:rFonts w:ascii="Times New Roman" w:eastAsia="Times New Roman" w:hAnsi="Times New Roman" w:cs="Times New Roman"/>
          <w:sz w:val="28"/>
          <w:szCs w:val="28"/>
        </w:rPr>
        <w:t xml:space="preserve"> 26 травня </w:t>
      </w:r>
      <w:r w:rsidR="00EC1E92" w:rsidRPr="002F0E19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0A26EC" w:rsidRPr="002F0E19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EC1E92" w:rsidRPr="002F0E19">
        <w:rPr>
          <w:rFonts w:ascii="Times New Roman" w:eastAsia="Times New Roman" w:hAnsi="Times New Roman" w:cs="Times New Roman"/>
          <w:sz w:val="28"/>
          <w:szCs w:val="28"/>
        </w:rPr>
        <w:t xml:space="preserve"> №532 «Про затвердження Порядку функціонування національної інфраструктури ге</w:t>
      </w:r>
      <w:r w:rsidR="002F0E19" w:rsidRPr="002F0E19">
        <w:rPr>
          <w:rFonts w:ascii="Times New Roman" w:eastAsia="Times New Roman" w:hAnsi="Times New Roman" w:cs="Times New Roman"/>
          <w:sz w:val="28"/>
          <w:szCs w:val="28"/>
        </w:rPr>
        <w:t>опросторових даних», рішенні</w:t>
      </w:r>
      <w:r w:rsidR="00EC1E92" w:rsidRPr="002F0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0E19"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r w:rsidR="005A236F" w:rsidRPr="002F0E19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від 16.02.2022 №</w:t>
      </w:r>
      <w:r w:rsidR="00EC1E92" w:rsidRPr="002F0E19">
        <w:rPr>
          <w:rFonts w:ascii="Times New Roman" w:eastAsia="Times New Roman" w:hAnsi="Times New Roman" w:cs="Times New Roman"/>
          <w:sz w:val="28"/>
          <w:szCs w:val="28"/>
        </w:rPr>
        <w:t>101 «Про затвердження Положення про геоінформаційну систему м. Кривого Рогу», інших законах та нормативно-правових актах України</w:t>
      </w:r>
      <w:r w:rsidRPr="002F0E19">
        <w:rPr>
          <w:rFonts w:ascii="Times New Roman" w:eastAsia="Times New Roman" w:hAnsi="Times New Roman" w:cs="Times New Roman"/>
          <w:sz w:val="28"/>
          <w:szCs w:val="28"/>
        </w:rPr>
        <w:t>, що регулюють відносини у сферах</w:t>
      </w:r>
      <w:r w:rsidR="00EC1E92" w:rsidRPr="002F0E19">
        <w:rPr>
          <w:rFonts w:ascii="Times New Roman" w:eastAsia="Times New Roman" w:hAnsi="Times New Roman" w:cs="Times New Roman"/>
          <w:sz w:val="28"/>
          <w:szCs w:val="28"/>
        </w:rPr>
        <w:t xml:space="preserve"> містоб</w:t>
      </w:r>
      <w:r w:rsidRPr="002F0E19">
        <w:rPr>
          <w:rFonts w:ascii="Times New Roman" w:eastAsia="Times New Roman" w:hAnsi="Times New Roman" w:cs="Times New Roman"/>
          <w:sz w:val="28"/>
          <w:szCs w:val="28"/>
        </w:rPr>
        <w:t>удування,</w:t>
      </w:r>
      <w:r w:rsidR="00EC1E92" w:rsidRPr="002F0E19">
        <w:rPr>
          <w:rFonts w:ascii="Times New Roman" w:eastAsia="Times New Roman" w:hAnsi="Times New Roman" w:cs="Times New Roman"/>
          <w:sz w:val="28"/>
          <w:szCs w:val="28"/>
        </w:rPr>
        <w:t xml:space="preserve"> інформації та інформатизації.</w:t>
      </w:r>
    </w:p>
    <w:p w14:paraId="0000002C" w14:textId="2D6A78A2" w:rsidR="009D09A1" w:rsidRDefault="000A26EC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. Формування містобудівного кадастру здійснюється з використанням таких джерел:</w:t>
      </w:r>
    </w:p>
    <w:p w14:paraId="0000002D" w14:textId="2D2CA521" w:rsidR="009D09A1" w:rsidRPr="00010492" w:rsidRDefault="00FC0721" w:rsidP="00DA2B71">
      <w:pPr>
        <w:pStyle w:val="a5"/>
        <w:numPr>
          <w:ilvl w:val="2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E92" w:rsidRPr="00010492">
        <w:rPr>
          <w:rFonts w:ascii="Times New Roman" w:eastAsia="Times New Roman" w:hAnsi="Times New Roman" w:cs="Times New Roman"/>
          <w:sz w:val="28"/>
          <w:szCs w:val="28"/>
        </w:rPr>
        <w:t>державні геоінформаційні ресурси;</w:t>
      </w:r>
    </w:p>
    <w:p w14:paraId="0000002E" w14:textId="7AC50757" w:rsidR="009D09A1" w:rsidRPr="00010492" w:rsidRDefault="00FC0721" w:rsidP="00DA2B71">
      <w:pPr>
        <w:pStyle w:val="a5"/>
        <w:numPr>
          <w:ilvl w:val="2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E92" w:rsidRPr="00010492">
        <w:rPr>
          <w:rFonts w:ascii="Times New Roman" w:eastAsia="Times New Roman" w:hAnsi="Times New Roman" w:cs="Times New Roman"/>
          <w:sz w:val="28"/>
          <w:szCs w:val="28"/>
        </w:rPr>
        <w:t>цифрові масиви проф</w:t>
      </w:r>
      <w:r w:rsidR="005D3EE4">
        <w:rPr>
          <w:rFonts w:ascii="Times New Roman" w:eastAsia="Times New Roman" w:hAnsi="Times New Roman" w:cs="Times New Roman"/>
          <w:sz w:val="28"/>
          <w:szCs w:val="28"/>
        </w:rPr>
        <w:t>ільних геопросторових даних, що містяться в</w:t>
      </w:r>
      <w:r w:rsidR="00EC1E92" w:rsidRPr="00010492">
        <w:rPr>
          <w:rFonts w:ascii="Times New Roman" w:eastAsia="Times New Roman" w:hAnsi="Times New Roman" w:cs="Times New Roman"/>
          <w:sz w:val="28"/>
          <w:szCs w:val="28"/>
        </w:rPr>
        <w:t xml:space="preserve"> затвердженій містобудівній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 xml:space="preserve"> та проє</w:t>
      </w:r>
      <w:r w:rsidR="00EC1E92" w:rsidRPr="00010492">
        <w:rPr>
          <w:rFonts w:ascii="Times New Roman" w:eastAsia="Times New Roman" w:hAnsi="Times New Roman" w:cs="Times New Roman"/>
          <w:sz w:val="28"/>
          <w:szCs w:val="28"/>
        </w:rPr>
        <w:t>ктній документації, матеріалах завершеного будівництва;</w:t>
      </w:r>
    </w:p>
    <w:p w14:paraId="0000002F" w14:textId="1DBAE1A8" w:rsidR="009D09A1" w:rsidRPr="00010492" w:rsidRDefault="00FC0721" w:rsidP="00DA2B71">
      <w:pPr>
        <w:pStyle w:val="a5"/>
        <w:numPr>
          <w:ilvl w:val="2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E92" w:rsidRPr="00010492">
        <w:rPr>
          <w:rFonts w:ascii="Times New Roman" w:eastAsia="Times New Roman" w:hAnsi="Times New Roman" w:cs="Times New Roman"/>
          <w:sz w:val="28"/>
          <w:szCs w:val="28"/>
        </w:rPr>
        <w:t>бази даних юридичних і фізичних осіб, порядок використання яких визначається законом.</w:t>
      </w:r>
    </w:p>
    <w:p w14:paraId="00000031" w14:textId="7A9C6855" w:rsidR="009D09A1" w:rsidRDefault="009E49DB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DA2B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Інформаційні ресурси системи</w:t>
      </w:r>
      <w:r w:rsidR="005D3EE4">
        <w:rPr>
          <w:rFonts w:ascii="Times New Roman" w:eastAsia="Times New Roman" w:hAnsi="Times New Roman" w:cs="Times New Roman"/>
          <w:sz w:val="28"/>
          <w:szCs w:val="28"/>
        </w:rPr>
        <w:t xml:space="preserve"> містобудівного кадастру мають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бути прив’язані </w:t>
      </w:r>
      <w:r w:rsidR="000E1AB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топографічної основи з державних геоінформаційних ресурсів відповідно до законодавства.</w:t>
      </w:r>
    </w:p>
    <w:p w14:paraId="00000032" w14:textId="66052BAF" w:rsidR="009D09A1" w:rsidRDefault="009E49DB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9EAD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DA2B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Інформація, що формується та міститься в містобудівному кадастрі геоінформаційної системи м. Кривого Рогу, є власністю Криворізької міської територіальної громади й підлягає захисту в установленому законодавством порядку.</w:t>
      </w:r>
    </w:p>
    <w:p w14:paraId="00000033" w14:textId="77777777" w:rsidR="009D09A1" w:rsidRDefault="009D09A1" w:rsidP="00DA2B7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34" w14:textId="77777777" w:rsidR="009D09A1" w:rsidRDefault="00EC1E92" w:rsidP="00DA2B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Структура містобудівного кадастру </w:t>
      </w:r>
    </w:p>
    <w:p w14:paraId="00000035" w14:textId="77777777" w:rsidR="009D09A1" w:rsidRDefault="00EC1E92" w:rsidP="00DA2B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геоінформаційної системи м. Кривого Рогу</w:t>
      </w:r>
    </w:p>
    <w:p w14:paraId="43C63D57" w14:textId="77777777" w:rsidR="000E1ABA" w:rsidRDefault="000E1ABA" w:rsidP="00DA2B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36" w14:textId="77777777" w:rsidR="009D09A1" w:rsidRDefault="00EC1E92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Містобудівний кадастр геоінформаційної системи м. Кривого Рогу розділений на такі основні структурні розділи відповідно до напрямів:</w:t>
      </w:r>
    </w:p>
    <w:p w14:paraId="00000037" w14:textId="6EE3137D" w:rsidR="009D09A1" w:rsidRDefault="00010492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 «Містобудівна документація»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8" w14:textId="69B3C8F8" w:rsidR="009D09A1" w:rsidRDefault="00010492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 «Земельні ресурси»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63D621" w14:textId="5FAFA58B" w:rsidR="00D44895" w:rsidRDefault="00010492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 «Будівельна діяльність»</w:t>
      </w:r>
      <w:r w:rsidR="000E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0FE54C" w14:textId="117529DE" w:rsidR="00021605" w:rsidRDefault="00021605" w:rsidP="00EA0A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У разі необхідності ухвалення та ухвалення відповідних рішень, можуть бути створені нові структурні розділи містобудівного кадастру</w:t>
      </w:r>
      <w:r w:rsidR="00EA0ABF">
        <w:rPr>
          <w:rFonts w:ascii="Times New Roman" w:eastAsia="Times New Roman" w:hAnsi="Times New Roman" w:cs="Times New Roman"/>
          <w:sz w:val="28"/>
          <w:szCs w:val="28"/>
        </w:rPr>
        <w:t xml:space="preserve"> геоінфор-</w:t>
      </w:r>
    </w:p>
    <w:p w14:paraId="0000003A" w14:textId="7EC1A3D9" w:rsidR="009D09A1" w:rsidRDefault="00021605" w:rsidP="00EA0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маційної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системи м. Кривого Рогу у відповідності до законодавства.</w:t>
      </w:r>
    </w:p>
    <w:p w14:paraId="0000003B" w14:textId="10295EEA" w:rsidR="009D09A1" w:rsidRDefault="007A56B2" w:rsidP="007A5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010492">
        <w:rPr>
          <w:rFonts w:ascii="Times New Roman" w:eastAsia="Times New Roman" w:hAnsi="Times New Roman" w:cs="Times New Roman"/>
          <w:sz w:val="28"/>
          <w:szCs w:val="28"/>
        </w:rPr>
        <w:t xml:space="preserve"> Розділ «Містобудівна документація»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містить дані про:</w:t>
      </w:r>
    </w:p>
    <w:p w14:paraId="0000003C" w14:textId="630BC1E5" w:rsidR="009D09A1" w:rsidRDefault="00010492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2.3.1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генеральний  план міста; </w:t>
      </w:r>
    </w:p>
    <w:p w14:paraId="0000003D" w14:textId="1213A719" w:rsidR="009D09A1" w:rsidRDefault="00010492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2.3.2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план зонування (зонінги) територій;</w:t>
      </w:r>
    </w:p>
    <w:p w14:paraId="0000003E" w14:textId="42C97DA9" w:rsidR="009D09A1" w:rsidRDefault="00010492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2.3.3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історико-архітектурний  опорний  план  міста;</w:t>
      </w:r>
    </w:p>
    <w:p w14:paraId="0000003F" w14:textId="0DFAFE3D" w:rsidR="009D09A1" w:rsidRDefault="00010492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2.3.4 детальні плани територій;</w:t>
      </w:r>
    </w:p>
    <w:p w14:paraId="00000040" w14:textId="261A3AB9" w:rsidR="009D09A1" w:rsidRDefault="00010492" w:rsidP="00DA2B71">
      <w:pPr>
        <w:tabs>
          <w:tab w:val="right" w:pos="9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2.3.5 д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одатково, у разі наявності таких відомостей у Розпорядника,  розділ може містити дані:</w:t>
      </w:r>
    </w:p>
    <w:p w14:paraId="00000041" w14:textId="3D5FFBEC" w:rsidR="009D09A1" w:rsidRDefault="00010492" w:rsidP="00DA2B71">
      <w:pPr>
        <w:tabs>
          <w:tab w:val="right" w:pos="9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2.3.5.1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проєкти розподілу територій;</w:t>
      </w:r>
    </w:p>
    <w:p w14:paraId="00000042" w14:textId="73302F63" w:rsidR="009D09A1" w:rsidRDefault="00010492" w:rsidP="00DA2B71">
      <w:pPr>
        <w:tabs>
          <w:tab w:val="right" w:pos="9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2.3.5.2 </w:t>
      </w:r>
      <w:r w:rsidR="000E1ABA">
        <w:rPr>
          <w:rFonts w:ascii="Times New Roman" w:eastAsia="Times New Roman" w:hAnsi="Times New Roman" w:cs="Times New Roman"/>
          <w:sz w:val="28"/>
          <w:szCs w:val="28"/>
        </w:rPr>
        <w:t>графічні матеріали, що є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підставою д</w:t>
      </w:r>
      <w:r>
        <w:rPr>
          <w:rFonts w:ascii="Times New Roman" w:eastAsia="Times New Roman" w:hAnsi="Times New Roman" w:cs="Times New Roman"/>
          <w:sz w:val="28"/>
          <w:szCs w:val="28"/>
        </w:rPr>
        <w:t>ля відведення земельних ділянок;</w:t>
      </w:r>
    </w:p>
    <w:p w14:paraId="00000043" w14:textId="74F943BC" w:rsidR="009D09A1" w:rsidRDefault="00010492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2.3.6</w:t>
      </w:r>
      <w:r w:rsidR="007A56B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рафічні матеріали містобудівної документації</w:t>
      </w:r>
      <w:r w:rsidR="00021605">
        <w:rPr>
          <w:rFonts w:ascii="Times New Roman" w:eastAsia="Times New Roman" w:hAnsi="Times New Roman" w:cs="Times New Roman"/>
          <w:sz w:val="28"/>
          <w:szCs w:val="28"/>
        </w:rPr>
        <w:t>, що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мають бути географічно прив'язані до топографічної основи, містити загальні дані (номер та дат</w:t>
      </w:r>
      <w:r w:rsidR="00021605">
        <w:rPr>
          <w:rFonts w:ascii="Times New Roman" w:eastAsia="Times New Roman" w:hAnsi="Times New Roman" w:cs="Times New Roman"/>
          <w:sz w:val="28"/>
          <w:szCs w:val="28"/>
        </w:rPr>
        <w:t>а ухвалення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рішення </w:t>
      </w:r>
      <w:r w:rsidR="004237E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0E1ABA">
        <w:rPr>
          <w:rFonts w:ascii="Times New Roman" w:eastAsia="Times New Roman" w:hAnsi="Times New Roman" w:cs="Times New Roman"/>
          <w:sz w:val="28"/>
          <w:szCs w:val="28"/>
        </w:rPr>
        <w:t xml:space="preserve">їх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затвердження, назва, замовник) та мати посилання на завантаження матеріалів містобудівної документації.</w:t>
      </w:r>
    </w:p>
    <w:p w14:paraId="00000044" w14:textId="0BD4653E" w:rsidR="009D09A1" w:rsidRDefault="00593F0B" w:rsidP="00DA2B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010492">
        <w:rPr>
          <w:rFonts w:ascii="Times New Roman" w:eastAsia="Times New Roman" w:hAnsi="Times New Roman" w:cs="Times New Roman"/>
          <w:sz w:val="28"/>
          <w:szCs w:val="28"/>
        </w:rPr>
        <w:t xml:space="preserve"> Розділ «Земельні ресурси»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містить такі дані:</w:t>
      </w:r>
    </w:p>
    <w:p w14:paraId="00000045" w14:textId="77777777" w:rsidR="009D09A1" w:rsidRDefault="00EC1E92" w:rsidP="00DA2B7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right" w:pos="98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межі кадастрових зон і кварталів;</w:t>
      </w:r>
    </w:p>
    <w:p w14:paraId="00000046" w14:textId="41FDA16F" w:rsidR="009D09A1" w:rsidRDefault="00EC1E92" w:rsidP="00DA2B71">
      <w:pPr>
        <w:tabs>
          <w:tab w:val="right" w:pos="9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2.4.2 межі економіко-планувальних зон нормат</w:t>
      </w:r>
      <w:r w:rsidR="003B4D94">
        <w:rPr>
          <w:rFonts w:ascii="Times New Roman" w:eastAsia="Times New Roman" w:hAnsi="Times New Roman" w:cs="Times New Roman"/>
          <w:sz w:val="28"/>
          <w:szCs w:val="28"/>
        </w:rPr>
        <w:t>ивної  грошової  оцінки  земель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міста;</w:t>
      </w:r>
    </w:p>
    <w:p w14:paraId="00000047" w14:textId="77777777" w:rsidR="009D09A1" w:rsidRDefault="00EC1E92" w:rsidP="00DA2B7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8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межі  земельних ділянок;</w:t>
      </w:r>
    </w:p>
    <w:p w14:paraId="00000048" w14:textId="77777777" w:rsidR="009D09A1" w:rsidRDefault="00EC1E92" w:rsidP="00DA2B7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8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 земельних ділянок;</w:t>
      </w:r>
    </w:p>
    <w:p w14:paraId="00000049" w14:textId="77777777" w:rsidR="009D09A1" w:rsidRDefault="00EC1E92" w:rsidP="00DA2B7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8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кадастрові  номери  земельних ділянок;  </w:t>
      </w:r>
    </w:p>
    <w:p w14:paraId="0000004A" w14:textId="77777777" w:rsidR="009D09A1" w:rsidRDefault="00EC1E92" w:rsidP="00DA2B7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8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угіддя земельних ділянок (із зазначенням контурів будівель, споруд, розташованих на земельних  ділянках);  </w:t>
      </w:r>
    </w:p>
    <w:p w14:paraId="0000004B" w14:textId="77777777" w:rsidR="009D09A1" w:rsidRDefault="00EC1E92" w:rsidP="00DA2B7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8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категорія земель;</w:t>
      </w:r>
    </w:p>
    <w:p w14:paraId="0000004C" w14:textId="7B59C10B" w:rsidR="009D09A1" w:rsidRDefault="00EC1E92" w:rsidP="00DA2B7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8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цільового призначення земел</w:t>
      </w:r>
      <w:r w:rsidR="0001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ьних ділянок </w:t>
      </w:r>
      <w:r w:rsidR="000E1ABA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3B4D94">
        <w:rPr>
          <w:rFonts w:ascii="Times New Roman" w:eastAsia="Times New Roman" w:hAnsi="Times New Roman" w:cs="Times New Roman"/>
          <w:color w:val="000000"/>
          <w:sz w:val="28"/>
          <w:szCs w:val="28"/>
        </w:rPr>
        <w:t>з зазначенням його</w:t>
      </w:r>
      <w:r w:rsidR="00A06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коду відповідно до Класифікатора видів цільового призначення земельних ділянок;</w:t>
      </w:r>
    </w:p>
    <w:p w14:paraId="0000004D" w14:textId="5D7039EE" w:rsidR="009D09A1" w:rsidRDefault="00EC1E92" w:rsidP="00DA2B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2.4.9 нормативна (експертна) грошова оцінка  земельних  ділянок (дата та номер документа, вартість земельної ділянки, вартість за одиницю площі земельної ділянки)</w:t>
      </w:r>
      <w:r w:rsidR="000E1A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4E" w14:textId="77777777" w:rsidR="009D09A1" w:rsidRDefault="00EC1E92" w:rsidP="00DA2B71">
      <w:pPr>
        <w:tabs>
          <w:tab w:val="right" w:pos="9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2.4.10  розподіл  земель  між  власниками  і користувачами  (зазначається  форма  власності  та  вид   речового права);  </w:t>
      </w:r>
    </w:p>
    <w:p w14:paraId="0000004F" w14:textId="753692AE" w:rsidR="009D09A1" w:rsidRDefault="00EC1E92" w:rsidP="00DA2B71">
      <w:pPr>
        <w:tabs>
          <w:tab w:val="right" w:pos="9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2.4.11 обмеження  у  використанні  земел</w:t>
      </w:r>
      <w:r w:rsidR="00021605">
        <w:rPr>
          <w:rFonts w:ascii="Times New Roman" w:eastAsia="Times New Roman" w:hAnsi="Times New Roman" w:cs="Times New Roman"/>
          <w:sz w:val="28"/>
          <w:szCs w:val="28"/>
        </w:rPr>
        <w:t>ьних ділянок на підставі даних Д</w:t>
      </w:r>
      <w:r>
        <w:rPr>
          <w:rFonts w:ascii="Times New Roman" w:eastAsia="Times New Roman" w:hAnsi="Times New Roman" w:cs="Times New Roman"/>
          <w:sz w:val="28"/>
          <w:szCs w:val="28"/>
        </w:rPr>
        <w:t>ержавного земельного кадастру;</w:t>
      </w:r>
    </w:p>
    <w:p w14:paraId="00000050" w14:textId="5CF0DD2E" w:rsidR="009D09A1" w:rsidRDefault="00EC1E92" w:rsidP="00DA2B71">
      <w:pPr>
        <w:tabs>
          <w:tab w:val="right" w:pos="9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2.4.12 додатково, у разі наявності т</w:t>
      </w:r>
      <w:r w:rsidR="00021605">
        <w:rPr>
          <w:rFonts w:ascii="Times New Roman" w:eastAsia="Times New Roman" w:hAnsi="Times New Roman" w:cs="Times New Roman"/>
          <w:sz w:val="28"/>
          <w:szCs w:val="28"/>
        </w:rPr>
        <w:t>аких відомостей у Розпорядника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51" w14:textId="622F0B2F" w:rsidR="009D09A1" w:rsidRPr="00593F0B" w:rsidRDefault="00EC1E92" w:rsidP="00DA2B71">
      <w:pPr>
        <w:pStyle w:val="a5"/>
        <w:numPr>
          <w:ilvl w:val="3"/>
          <w:numId w:val="10"/>
        </w:numPr>
        <w:tabs>
          <w:tab w:val="right" w:pos="98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F0B">
        <w:rPr>
          <w:rFonts w:ascii="Times New Roman" w:eastAsia="Times New Roman" w:hAnsi="Times New Roman" w:cs="Times New Roman"/>
          <w:sz w:val="28"/>
          <w:szCs w:val="28"/>
        </w:rPr>
        <w:t xml:space="preserve">координати земельної ділянки; </w:t>
      </w:r>
    </w:p>
    <w:p w14:paraId="51A025D6" w14:textId="5CA8A9D1" w:rsidR="00593F0B" w:rsidRDefault="00EC1E92" w:rsidP="00DA2B71">
      <w:pPr>
        <w:pStyle w:val="a5"/>
        <w:numPr>
          <w:ilvl w:val="3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F0B">
        <w:rPr>
          <w:rFonts w:ascii="Times New Roman" w:eastAsia="Times New Roman" w:hAnsi="Times New Roman" w:cs="Times New Roman"/>
          <w:sz w:val="28"/>
          <w:szCs w:val="28"/>
        </w:rPr>
        <w:t>місцезнаходження земельної ді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>лянки (поштова адреса</w:t>
      </w:r>
      <w:r w:rsidRPr="00593F0B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53" w14:textId="07D8510C" w:rsidR="009D09A1" w:rsidRPr="00593F0B" w:rsidRDefault="00EC1E92" w:rsidP="00C243D8">
      <w:pPr>
        <w:pStyle w:val="a5"/>
        <w:numPr>
          <w:ilvl w:val="3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F0B">
        <w:rPr>
          <w:rFonts w:ascii="Times New Roman" w:eastAsia="Times New Roman" w:hAnsi="Times New Roman" w:cs="Times New Roman"/>
          <w:sz w:val="28"/>
          <w:szCs w:val="28"/>
        </w:rPr>
        <w:t>суміжні землекористувачі земельної ділянки; (прізвище, ім'я по батькові  – для фізичних осіб, назва – для юридичних осіб);</w:t>
      </w:r>
    </w:p>
    <w:p w14:paraId="00000054" w14:textId="599D677C" w:rsidR="009D09A1" w:rsidRPr="00593F0B" w:rsidRDefault="00EC1E92" w:rsidP="00F807D9">
      <w:pPr>
        <w:pStyle w:val="a5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before="240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F0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договори оренди, сервітуту, емфітевзису, суборенди, суперфіцію, купівлі-продажу земельно</w:t>
      </w:r>
      <w:r w:rsidR="000E1ABA">
        <w:rPr>
          <w:rFonts w:ascii="Times New Roman" w:eastAsia="Times New Roman" w:hAnsi="Times New Roman" w:cs="Times New Roman"/>
          <w:color w:val="000000"/>
          <w:sz w:val="28"/>
          <w:szCs w:val="28"/>
        </w:rPr>
        <w:t>ї ділянки чи державний акт на</w:t>
      </w:r>
      <w:r w:rsidRPr="00593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постійного користування (дата та номер державної реєстрації документа, вид речового права, дата початку та дата закінчення дії речового права, суб’єкт права (для фізичних осі</w:t>
      </w:r>
      <w:r w:rsidR="00F807D9">
        <w:rPr>
          <w:rFonts w:ascii="Times New Roman" w:eastAsia="Times New Roman" w:hAnsi="Times New Roman" w:cs="Times New Roman"/>
          <w:color w:val="000000"/>
          <w:sz w:val="28"/>
          <w:szCs w:val="28"/>
        </w:rPr>
        <w:t>б – прізвище, ім'я по батькові</w:t>
      </w:r>
      <w:r w:rsidR="00F807D9" w:rsidRPr="00F807D9">
        <w:rPr>
          <w:rFonts w:ascii="Times New Roman" w:eastAsia="Times New Roman" w:hAnsi="Times New Roman" w:cs="Times New Roman"/>
          <w:sz w:val="28"/>
          <w:szCs w:val="28"/>
        </w:rPr>
        <w:t>, реєстраційний номер облікової картки платника податків,</w:t>
      </w:r>
      <w:r w:rsidRPr="00F807D9">
        <w:rPr>
          <w:rFonts w:ascii="Times New Roman" w:eastAsia="Times New Roman" w:hAnsi="Times New Roman" w:cs="Times New Roman"/>
          <w:sz w:val="28"/>
          <w:szCs w:val="28"/>
        </w:rPr>
        <w:t xml:space="preserve"> для юридичних осіб – назва, </w:t>
      </w:r>
      <w:r w:rsidR="002826E1" w:rsidRPr="00F807D9">
        <w:rPr>
          <w:rFonts w:ascii="Times New Roman" w:eastAsia="Times New Roman" w:hAnsi="Times New Roman" w:cs="Times New Roman"/>
          <w:sz w:val="28"/>
          <w:szCs w:val="28"/>
        </w:rPr>
        <w:t>код Єдиного державного реєстру підприємств та організацій України</w:t>
      </w:r>
      <w:r w:rsidR="00F807D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807D9">
        <w:rPr>
          <w:rFonts w:ascii="Times New Roman" w:eastAsia="Times New Roman" w:hAnsi="Times New Roman" w:cs="Times New Roman"/>
          <w:sz w:val="28"/>
          <w:szCs w:val="28"/>
        </w:rPr>
        <w:t xml:space="preserve">, підстава набуття речового права, у тому числі номер, дата та назва </w:t>
      </w:r>
      <w:r w:rsidRPr="00593F0B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уповноваженої особи про набуття речового права);</w:t>
      </w:r>
    </w:p>
    <w:p w14:paraId="00000055" w14:textId="0B291107" w:rsidR="009D09A1" w:rsidRPr="00593F0B" w:rsidRDefault="00EC1E92" w:rsidP="00C243D8">
      <w:pPr>
        <w:pStyle w:val="a5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F0B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 про розроблену документацію із землеустрою (назва землевпорядної документації, номер, дата та назва рішення уповноваженої особи про розроблення такої документації та про її затвердження (погодження), замовник та розробн</w:t>
      </w:r>
      <w:r w:rsidR="007A56B2">
        <w:rPr>
          <w:rFonts w:ascii="Times New Roman" w:eastAsia="Times New Roman" w:hAnsi="Times New Roman" w:cs="Times New Roman"/>
          <w:color w:val="000000"/>
          <w:sz w:val="28"/>
          <w:szCs w:val="28"/>
        </w:rPr>
        <w:t>ик документації із землеустрою);</w:t>
      </w:r>
    </w:p>
    <w:p w14:paraId="00000056" w14:textId="4D87AA64" w:rsidR="009D09A1" w:rsidRDefault="007A56B2" w:rsidP="00C24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2.4.13 д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ані розділу</w:t>
      </w:r>
      <w:r w:rsidR="00EC1E92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</w:rPr>
        <w:t xml:space="preserve"> </w:t>
      </w:r>
      <w:r w:rsidR="000E1ABA">
        <w:rPr>
          <w:rFonts w:ascii="Times New Roman" w:eastAsia="Times New Roman" w:hAnsi="Times New Roman" w:cs="Times New Roman"/>
          <w:sz w:val="28"/>
          <w:szCs w:val="28"/>
        </w:rPr>
        <w:t>«Земельні ресурси»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>, що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мають бути прив'язані до контурів земельних ділянок, які в свою чергу мають відображатися на топографічній основі (на зразок Публі</w:t>
      </w:r>
      <w:r>
        <w:rPr>
          <w:rFonts w:ascii="Times New Roman" w:eastAsia="Times New Roman" w:hAnsi="Times New Roman" w:cs="Times New Roman"/>
          <w:sz w:val="28"/>
          <w:szCs w:val="28"/>
        </w:rPr>
        <w:t>чної кадастрової карти України);</w:t>
      </w:r>
    </w:p>
    <w:p w14:paraId="00000057" w14:textId="2C6B54C7" w:rsidR="009D09A1" w:rsidRDefault="007A56B2" w:rsidP="00C24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2.4.14 в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ідомості, розпорядником яких є Державний земельний кадастр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>, що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отримуються у відповідності до Порядку інформаційної взаємодії між Державним земельним кадастром, іншими кадастрами та інформаці</w:t>
      </w:r>
      <w:r w:rsidR="000E1ABA">
        <w:rPr>
          <w:rFonts w:ascii="Times New Roman" w:eastAsia="Times New Roman" w:hAnsi="Times New Roman" w:cs="Times New Roman"/>
          <w:sz w:val="28"/>
          <w:szCs w:val="28"/>
        </w:rPr>
        <w:t xml:space="preserve">йними системами, 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ABA">
        <w:rPr>
          <w:rFonts w:ascii="Times New Roman" w:eastAsia="Times New Roman" w:hAnsi="Times New Roman" w:cs="Times New Roman"/>
          <w:sz w:val="28"/>
          <w:szCs w:val="28"/>
        </w:rPr>
        <w:t xml:space="preserve">затвердженого 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1A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остановою 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Міністрів 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3F0B">
        <w:rPr>
          <w:rFonts w:ascii="Times New Roman" w:eastAsia="Times New Roman" w:hAnsi="Times New Roman" w:cs="Times New Roman"/>
          <w:sz w:val="28"/>
          <w:szCs w:val="28"/>
        </w:rPr>
        <w:t xml:space="preserve">України 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3F0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1AB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93F0B">
        <w:rPr>
          <w:rFonts w:ascii="Times New Roman" w:eastAsia="Times New Roman" w:hAnsi="Times New Roman" w:cs="Times New Roman"/>
          <w:sz w:val="28"/>
          <w:szCs w:val="28"/>
        </w:rPr>
        <w:t>3 червня 2013 року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483.</w:t>
      </w:r>
    </w:p>
    <w:p w14:paraId="00000058" w14:textId="6287E92B" w:rsidR="009D09A1" w:rsidRDefault="00593F0B" w:rsidP="00C24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Розділ «Будівельна діяльність»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містить відомості з Реєстру 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>будівельної діяльності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Єдиної 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 xml:space="preserve">державної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електронної системи у сфері будівництва</w:t>
      </w:r>
      <w:r w:rsidR="007077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а саме:</w:t>
      </w:r>
    </w:p>
    <w:p w14:paraId="00000059" w14:textId="50B0A640" w:rsidR="009D09A1" w:rsidRPr="00593F0B" w:rsidRDefault="007A56B2" w:rsidP="00C243D8">
      <w:pPr>
        <w:pStyle w:val="a5"/>
        <w:numPr>
          <w:ilvl w:val="2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EC1E92" w:rsidRPr="00593F0B">
        <w:rPr>
          <w:rFonts w:ascii="Times New Roman" w:eastAsia="Times New Roman" w:hAnsi="Times New Roman" w:cs="Times New Roman"/>
          <w:sz w:val="28"/>
          <w:szCs w:val="28"/>
        </w:rPr>
        <w:t>удівельні паспорти забудови земельної ділянки;</w:t>
      </w:r>
    </w:p>
    <w:p w14:paraId="0000005A" w14:textId="68C18A0E" w:rsidR="009D09A1" w:rsidRPr="00593F0B" w:rsidRDefault="007A56B2" w:rsidP="00C243D8">
      <w:pPr>
        <w:pStyle w:val="a5"/>
        <w:numPr>
          <w:ilvl w:val="2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EC1E92" w:rsidRPr="00593F0B">
        <w:rPr>
          <w:rFonts w:ascii="Times New Roman" w:eastAsia="Times New Roman" w:hAnsi="Times New Roman" w:cs="Times New Roman"/>
          <w:sz w:val="28"/>
          <w:szCs w:val="28"/>
        </w:rPr>
        <w:t>істобудівні умови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 xml:space="preserve"> та обмеження для проє</w:t>
      </w:r>
      <w:r w:rsidR="003B4D94">
        <w:rPr>
          <w:rFonts w:ascii="Times New Roman" w:eastAsia="Times New Roman" w:hAnsi="Times New Roman" w:cs="Times New Roman"/>
          <w:sz w:val="28"/>
          <w:szCs w:val="28"/>
        </w:rPr>
        <w:t xml:space="preserve">ктування об'єкта </w:t>
      </w:r>
      <w:r w:rsidR="00EC1E92" w:rsidRPr="00593F0B">
        <w:rPr>
          <w:rFonts w:ascii="Times New Roman" w:eastAsia="Times New Roman" w:hAnsi="Times New Roman" w:cs="Times New Roman"/>
          <w:sz w:val="28"/>
          <w:szCs w:val="28"/>
        </w:rPr>
        <w:t>будівництва;</w:t>
      </w:r>
    </w:p>
    <w:p w14:paraId="0000005B" w14:textId="45B41C78" w:rsidR="009D09A1" w:rsidRPr="00593F0B" w:rsidRDefault="007A56B2" w:rsidP="00C243D8">
      <w:pPr>
        <w:pStyle w:val="a5"/>
        <w:numPr>
          <w:ilvl w:val="2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EC1E92" w:rsidRPr="00593F0B">
        <w:rPr>
          <w:rFonts w:ascii="Times New Roman" w:eastAsia="Times New Roman" w:hAnsi="Times New Roman" w:cs="Times New Roman"/>
          <w:sz w:val="28"/>
          <w:szCs w:val="28"/>
        </w:rPr>
        <w:t>исти про те, що містобудівні умови та обмеження не надаються;</w:t>
      </w:r>
    </w:p>
    <w:p w14:paraId="0000005C" w14:textId="206C4C58" w:rsidR="009D09A1" w:rsidRPr="00593F0B" w:rsidRDefault="007A56B2" w:rsidP="00C243D8">
      <w:pPr>
        <w:pStyle w:val="a5"/>
        <w:numPr>
          <w:ilvl w:val="2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C1E92" w:rsidRPr="00593F0B">
        <w:rPr>
          <w:rFonts w:ascii="Times New Roman" w:eastAsia="Times New Roman" w:hAnsi="Times New Roman" w:cs="Times New Roman"/>
          <w:sz w:val="28"/>
          <w:szCs w:val="28"/>
        </w:rPr>
        <w:t>роєктна документація;</w:t>
      </w:r>
    </w:p>
    <w:p w14:paraId="0000005D" w14:textId="15208308" w:rsidR="009D09A1" w:rsidRPr="00593F0B" w:rsidRDefault="007A56B2" w:rsidP="00C243D8">
      <w:pPr>
        <w:pStyle w:val="a5"/>
        <w:numPr>
          <w:ilvl w:val="2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>ехнічну інвентаризацію;</w:t>
      </w:r>
    </w:p>
    <w:p w14:paraId="0000005E" w14:textId="1B4F7C09" w:rsidR="009D09A1" w:rsidRDefault="00593F0B" w:rsidP="00C243D8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2.5.6 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7A56B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ехнічне обстеження.</w:t>
      </w:r>
    </w:p>
    <w:p w14:paraId="0000005F" w14:textId="51717358" w:rsidR="009D09A1" w:rsidRDefault="00593F0B" w:rsidP="00C243D8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Актуальність, обсяг і повнота зазначених  ві</w:t>
      </w:r>
      <w:r w:rsidR="004237E0">
        <w:rPr>
          <w:rFonts w:ascii="Times New Roman" w:eastAsia="Times New Roman" w:hAnsi="Times New Roman" w:cs="Times New Roman"/>
          <w:sz w:val="28"/>
          <w:szCs w:val="28"/>
        </w:rPr>
        <w:t>домостей мають відповідати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 xml:space="preserve"> відображеним у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Реєстрі будівельної діяльності Єдиної 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 xml:space="preserve">державної 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електронної системи у сфері будівництва, що забезпечується шляхом інтеграції її відомостей. </w:t>
      </w:r>
    </w:p>
    <w:p w14:paraId="00000060" w14:textId="71DFFE32" w:rsidR="009D09A1" w:rsidRDefault="00593F0B" w:rsidP="00C243D8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Відомості про будівельні паспор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>ти забудови земельної ділянки й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містобуд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>івні умови та обмеження для проє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>тування об'єкта будівництва,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видані до впровадження Єдиної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 xml:space="preserve"> державної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електронної системи у сфері будівництва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>, можуть уноситися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Розпорядником самостійно.</w:t>
      </w:r>
    </w:p>
    <w:p w14:paraId="00000061" w14:textId="77777777" w:rsidR="009D09A1" w:rsidRDefault="009D09A1" w:rsidP="00C24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BDCBFF" w14:textId="51E42487" w:rsidR="00FC0721" w:rsidRPr="00FC0721" w:rsidRDefault="00EC1E92" w:rsidP="00FC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="00FC0721" w:rsidRPr="00FC07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Ведення даних містобудівного кадастру </w:t>
      </w:r>
    </w:p>
    <w:p w14:paraId="6E47C1D6" w14:textId="77777777" w:rsidR="00FC0721" w:rsidRPr="00FC0721" w:rsidRDefault="00FC0721" w:rsidP="00FC0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721">
        <w:rPr>
          <w:rFonts w:ascii="Times New Roman" w:eastAsia="Times New Roman" w:hAnsi="Times New Roman" w:cs="Times New Roman"/>
          <w:b/>
          <w:i/>
          <w:sz w:val="28"/>
          <w:szCs w:val="28"/>
        </w:rPr>
        <w:t>геоінформаційної системи м. Кривого Рогу</w:t>
      </w:r>
    </w:p>
    <w:p w14:paraId="61410692" w14:textId="77777777" w:rsidR="00C243D8" w:rsidRPr="00C243D8" w:rsidRDefault="00C243D8" w:rsidP="00FC07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5840D63" w14:textId="5D7BB5E0" w:rsidR="00D44895" w:rsidRDefault="00EC1E92" w:rsidP="003A79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 xml:space="preserve"> Розпорядник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межах повноважень забезпечує внесення нових даних та або їх оновлення (відповідно д</w:t>
      </w:r>
      <w:r w:rsidRPr="00CB02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961E9">
        <w:rPr>
          <w:rFonts w:ascii="Times New Roman" w:eastAsia="Times New Roman" w:hAnsi="Times New Roman" w:cs="Times New Roman"/>
          <w:sz w:val="28"/>
          <w:szCs w:val="28"/>
        </w:rPr>
        <w:t>п.2.3, 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Порядку) до останнього числа кожного місяця.</w:t>
      </w:r>
    </w:p>
    <w:p w14:paraId="00000065" w14:textId="7B884E6A" w:rsidR="009D09A1" w:rsidRPr="005073F8" w:rsidRDefault="00EC1E92" w:rsidP="003A79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F8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843109" w:rsidRPr="005073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7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3F8" w:rsidRPr="005073F8">
        <w:rPr>
          <w:rFonts w:ascii="Times New Roman" w:eastAsia="Times New Roman" w:hAnsi="Times New Roman" w:cs="Times New Roman"/>
          <w:sz w:val="28"/>
          <w:szCs w:val="28"/>
        </w:rPr>
        <w:t>У разі тимчасової те</w:t>
      </w:r>
      <w:r w:rsidR="0037625B">
        <w:rPr>
          <w:rFonts w:ascii="Times New Roman" w:eastAsia="Times New Roman" w:hAnsi="Times New Roman" w:cs="Times New Roman"/>
          <w:sz w:val="28"/>
          <w:szCs w:val="28"/>
        </w:rPr>
        <w:t xml:space="preserve">хнічної неможливості виконання </w:t>
      </w:r>
      <w:r w:rsidR="005073F8" w:rsidRPr="005073F8">
        <w:rPr>
          <w:rFonts w:ascii="Times New Roman" w:eastAsia="Times New Roman" w:hAnsi="Times New Roman" w:cs="Times New Roman"/>
          <w:sz w:val="28"/>
          <w:szCs w:val="28"/>
        </w:rPr>
        <w:t>п.3.1</w:t>
      </w:r>
      <w:r w:rsidR="006314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73F8" w:rsidRPr="005073F8">
        <w:rPr>
          <w:rFonts w:ascii="Times New Roman" w:eastAsia="Times New Roman" w:hAnsi="Times New Roman" w:cs="Times New Roman"/>
          <w:sz w:val="28"/>
          <w:szCs w:val="28"/>
        </w:rPr>
        <w:t xml:space="preserve"> Розпорядник та/або Адміністратор повідомляє про це на геопорталі із зазначенням кінцевих термінів виконання.</w:t>
      </w:r>
    </w:p>
    <w:p w14:paraId="38029774" w14:textId="73901F22" w:rsidR="003A792C" w:rsidRDefault="00EC1E92" w:rsidP="003A79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F8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843109" w:rsidRPr="005073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7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3F8">
        <w:rPr>
          <w:rFonts w:ascii="Times New Roman" w:eastAsia="Times New Roman" w:hAnsi="Times New Roman" w:cs="Times New Roman"/>
          <w:sz w:val="28"/>
          <w:szCs w:val="28"/>
        </w:rPr>
        <w:t>Розпорядник нада</w:t>
      </w:r>
      <w:r w:rsidR="005073F8" w:rsidRPr="005073F8">
        <w:rPr>
          <w:rFonts w:ascii="Times New Roman" w:eastAsia="Times New Roman" w:hAnsi="Times New Roman" w:cs="Times New Roman"/>
          <w:sz w:val="28"/>
          <w:szCs w:val="28"/>
        </w:rPr>
        <w:t>є Адміністратору  інформацію щодо необхідності забезпечення</w:t>
      </w:r>
      <w:r w:rsidR="003A7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3F8" w:rsidRPr="005073F8">
        <w:rPr>
          <w:rFonts w:ascii="Times New Roman" w:eastAsia="Times New Roman" w:hAnsi="Times New Roman" w:cs="Times New Roman"/>
          <w:sz w:val="28"/>
          <w:szCs w:val="28"/>
        </w:rPr>
        <w:t xml:space="preserve"> взаємодії </w:t>
      </w:r>
      <w:r w:rsidR="003A7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3F8" w:rsidRPr="005073F8">
        <w:rPr>
          <w:rFonts w:ascii="Times New Roman" w:eastAsia="Times New Roman" w:hAnsi="Times New Roman" w:cs="Times New Roman"/>
          <w:sz w:val="28"/>
          <w:szCs w:val="28"/>
        </w:rPr>
        <w:t>містобудівного</w:t>
      </w:r>
      <w:r w:rsidR="003A7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3F8" w:rsidRPr="005073F8">
        <w:rPr>
          <w:rFonts w:ascii="Times New Roman" w:eastAsia="Times New Roman" w:hAnsi="Times New Roman" w:cs="Times New Roman"/>
          <w:sz w:val="28"/>
          <w:szCs w:val="28"/>
        </w:rPr>
        <w:t xml:space="preserve"> кадастру з іншими </w:t>
      </w:r>
      <w:r w:rsidR="003A7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3F8" w:rsidRPr="005073F8">
        <w:rPr>
          <w:rFonts w:ascii="Times New Roman" w:eastAsia="Times New Roman" w:hAnsi="Times New Roman" w:cs="Times New Roman"/>
          <w:sz w:val="28"/>
          <w:szCs w:val="28"/>
        </w:rPr>
        <w:t xml:space="preserve">автоматизованими </w:t>
      </w:r>
    </w:p>
    <w:p w14:paraId="7CE0FEF5" w14:textId="67562DB9" w:rsidR="003A792C" w:rsidRDefault="003A792C" w:rsidP="003A7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F8">
        <w:rPr>
          <w:rFonts w:ascii="Times New Roman" w:eastAsia="Times New Roman" w:hAnsi="Times New Roman" w:cs="Times New Roman"/>
          <w:sz w:val="28"/>
          <w:szCs w:val="28"/>
        </w:rPr>
        <w:t xml:space="preserve">системами,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3F8">
        <w:rPr>
          <w:rFonts w:ascii="Times New Roman" w:eastAsia="Times New Roman" w:hAnsi="Times New Roman" w:cs="Times New Roman"/>
          <w:sz w:val="28"/>
          <w:szCs w:val="28"/>
        </w:rPr>
        <w:t>інформаційними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3F8">
        <w:rPr>
          <w:rFonts w:ascii="Times New Roman" w:eastAsia="Times New Roman" w:hAnsi="Times New Roman" w:cs="Times New Roman"/>
          <w:sz w:val="28"/>
          <w:szCs w:val="28"/>
        </w:rPr>
        <w:t xml:space="preserve"> ресурсами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3F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3F8">
        <w:rPr>
          <w:rFonts w:ascii="Times New Roman" w:eastAsia="Times New Roman" w:hAnsi="Times New Roman" w:cs="Times New Roman"/>
          <w:sz w:val="28"/>
          <w:szCs w:val="28"/>
        </w:rPr>
        <w:t>державними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3F8">
        <w:rPr>
          <w:rFonts w:ascii="Times New Roman" w:eastAsia="Times New Roman" w:hAnsi="Times New Roman" w:cs="Times New Roman"/>
          <w:sz w:val="28"/>
          <w:szCs w:val="28"/>
        </w:rPr>
        <w:t xml:space="preserve"> (національними)</w:t>
      </w:r>
      <w:r w:rsidR="004237E0">
        <w:rPr>
          <w:rFonts w:ascii="Times New Roman" w:eastAsia="Times New Roman" w:hAnsi="Times New Roman" w:cs="Times New Roman"/>
          <w:sz w:val="28"/>
          <w:szCs w:val="28"/>
        </w:rPr>
        <w:t xml:space="preserve">  реє-</w:t>
      </w:r>
    </w:p>
    <w:p w14:paraId="00000066" w14:textId="7024F975" w:rsidR="009D09A1" w:rsidRDefault="005073F8" w:rsidP="003A7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F8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631446">
        <w:rPr>
          <w:rFonts w:ascii="Times New Roman" w:eastAsia="Times New Roman" w:hAnsi="Times New Roman" w:cs="Times New Roman"/>
          <w:sz w:val="28"/>
          <w:szCs w:val="28"/>
        </w:rPr>
        <w:t>рами, кадастрами у випадках та в</w:t>
      </w:r>
      <w:r w:rsidRPr="005073F8">
        <w:rPr>
          <w:rFonts w:ascii="Times New Roman" w:eastAsia="Times New Roman" w:hAnsi="Times New Roman" w:cs="Times New Roman"/>
          <w:sz w:val="28"/>
          <w:szCs w:val="28"/>
        </w:rPr>
        <w:t xml:space="preserve"> порядку, визначених законодавством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8" w14:textId="7D720C1F" w:rsidR="009D09A1" w:rsidRDefault="009E49DB" w:rsidP="00551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. У разі необхідності змінити введену інформацію</w:t>
      </w:r>
      <w:r w:rsidR="00CD03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Розпорядник письмово повідомляє про це Адміністратора із зазначенням суті помилки та інших обставин (технічна, друкарська помилка та ін.). Виправлена інформація вноситься додатково.</w:t>
      </w:r>
    </w:p>
    <w:p w14:paraId="00000069" w14:textId="7D35FC8E" w:rsidR="009D09A1" w:rsidRPr="00843109" w:rsidRDefault="009E49DB" w:rsidP="00551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. Веденн</w:t>
      </w:r>
      <w:r w:rsidR="00631446">
        <w:rPr>
          <w:rFonts w:ascii="Times New Roman" w:eastAsia="Times New Roman" w:hAnsi="Times New Roman" w:cs="Times New Roman"/>
          <w:sz w:val="28"/>
          <w:szCs w:val="28"/>
        </w:rPr>
        <w:t>я містобудівного кадастру ГІС й у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несення до нього відповідних документів та інформації здійснюється 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>державною мовою</w:t>
      </w:r>
      <w:r w:rsidR="0063144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0000006A" w14:textId="51560EC3" w:rsidR="009D09A1" w:rsidRDefault="009E49DB" w:rsidP="009E49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. Розпорядник для належного ведення містобудівного кадастру ГІС:</w:t>
      </w:r>
    </w:p>
    <w:p w14:paraId="0000006B" w14:textId="0992D0EF" w:rsidR="009D09A1" w:rsidRPr="009E49DB" w:rsidRDefault="009E49DB" w:rsidP="009E49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3.6.1 </w:t>
      </w:r>
      <w:r w:rsidR="00EC1E92" w:rsidRPr="009E49DB">
        <w:rPr>
          <w:rFonts w:ascii="Times New Roman" w:eastAsia="Times New Roman" w:hAnsi="Times New Roman" w:cs="Times New Roman"/>
          <w:sz w:val="28"/>
          <w:szCs w:val="28"/>
        </w:rPr>
        <w:t>визначає перелік власних посадових осіб, які є внутрішніми користувачами, їх функціональні ролі та права доступу до містобудівного кадастру;</w:t>
      </w:r>
    </w:p>
    <w:p w14:paraId="0000006C" w14:textId="48F18AF4" w:rsidR="009D09A1" w:rsidRPr="00EC1E92" w:rsidRDefault="009E49DB" w:rsidP="009E49DB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3.6.2 </w:t>
      </w:r>
      <w:r w:rsidR="00EC1E92" w:rsidRPr="00EC1E92">
        <w:rPr>
          <w:rFonts w:ascii="Times New Roman" w:eastAsia="Times New Roman" w:hAnsi="Times New Roman" w:cs="Times New Roman"/>
          <w:sz w:val="28"/>
          <w:szCs w:val="28"/>
        </w:rPr>
        <w:t>надає Адміністратору необхідну інформацію про визначених посадових осіб для їх реєстрації в ГІС та надання їм необхідних прав доступу;</w:t>
      </w:r>
    </w:p>
    <w:p w14:paraId="0000006D" w14:textId="28CDB37E" w:rsidR="009D09A1" w:rsidRPr="00EC1E92" w:rsidRDefault="009E49DB" w:rsidP="009E49DB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3.6.3</w:t>
      </w:r>
      <w:r w:rsidR="00C24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446">
        <w:rPr>
          <w:rFonts w:ascii="Times New Roman" w:eastAsia="Times New Roman" w:hAnsi="Times New Roman" w:cs="Times New Roman"/>
          <w:sz w:val="28"/>
          <w:szCs w:val="28"/>
        </w:rPr>
        <w:t>ухвалене</w:t>
      </w:r>
      <w:r w:rsidR="00EC1E92" w:rsidRPr="00EC1E92">
        <w:rPr>
          <w:rFonts w:ascii="Times New Roman" w:eastAsia="Times New Roman" w:hAnsi="Times New Roman" w:cs="Times New Roman"/>
          <w:sz w:val="28"/>
          <w:szCs w:val="28"/>
        </w:rPr>
        <w:t xml:space="preserve"> рішення про блокування або анулювання доступу до містобудівного кадастру внутрішнім користувачам та надає Адміністратору відповідну інформацію для вчинення зазначених дій.</w:t>
      </w:r>
    </w:p>
    <w:p w14:paraId="0000006E" w14:textId="727C7799" w:rsidR="009D09A1" w:rsidRDefault="009E49DB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. Адміністратор та Розпорядник мають право вживати інші необхідні організаційні заходи, пов’язані із забезпеченням функціонування містобудівного кадастру ГІС в межах їх повноважень.</w:t>
      </w:r>
    </w:p>
    <w:p w14:paraId="0000006F" w14:textId="766BAF94" w:rsidR="009D09A1" w:rsidRDefault="009E49DB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. Відповідальність за своєчасне внесення, актуальність, достовірність</w:t>
      </w:r>
      <w:r w:rsidR="006314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публікацю на геопорталі даних в містобудівний кадастр несе відповідний внутрішній користувач згідно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 xml:space="preserve"> з розподілом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обов'язків.</w:t>
      </w:r>
    </w:p>
    <w:p w14:paraId="00000070" w14:textId="53356B83" w:rsidR="009D09A1" w:rsidRDefault="009E49DB" w:rsidP="00DA2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631446">
        <w:rPr>
          <w:rFonts w:ascii="Times New Roman" w:eastAsia="Times New Roman" w:hAnsi="Times New Roman" w:cs="Times New Roman"/>
          <w:sz w:val="28"/>
          <w:szCs w:val="28"/>
        </w:rPr>
        <w:t>озпорядник відповідно до чинного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законодавства має право звертатися до суб'єктів господарювання за отриманням інформації, необхідної для ведення містобудівного кадастру ГІС.</w:t>
      </w:r>
    </w:p>
    <w:p w14:paraId="00000072" w14:textId="77777777" w:rsidR="009D09A1" w:rsidRDefault="009D09A1" w:rsidP="00DA2B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73" w14:textId="77777777" w:rsidR="009D09A1" w:rsidRDefault="00EC1E92" w:rsidP="007077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Порядок надання інформації з містобудівного кадастру ГІС</w:t>
      </w:r>
    </w:p>
    <w:p w14:paraId="41CFE775" w14:textId="77777777" w:rsidR="007077F5" w:rsidRDefault="007077F5" w:rsidP="007077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74" w14:textId="11302C33" w:rsidR="009D09A1" w:rsidRDefault="00EC1E92" w:rsidP="00DA2B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31446">
        <w:rPr>
          <w:rFonts w:ascii="Times New Roman" w:eastAsia="Times New Roman" w:hAnsi="Times New Roman" w:cs="Times New Roman"/>
          <w:color w:val="000000"/>
          <w:sz w:val="28"/>
          <w:szCs w:val="28"/>
        </w:rPr>
        <w:t>.1. Інформація, яка міститься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містобудівному кадастрі </w:t>
      </w:r>
      <w:r>
        <w:rPr>
          <w:rFonts w:ascii="Times New Roman" w:eastAsia="Times New Roman" w:hAnsi="Times New Roman" w:cs="Times New Roman"/>
          <w:sz w:val="28"/>
          <w:szCs w:val="28"/>
        </w:rPr>
        <w:t>ГІС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є відкритою та загальнодоступною, крім відо</w:t>
      </w:r>
      <w:r w:rsidR="00631446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мостей, що відповідно до чинного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законодавства України належать до інформації з обмеженим доступом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або обмеженої в</w:t>
      </w:r>
      <w:r w:rsidR="00843109">
        <w:rPr>
          <w:rFonts w:ascii="Times New Roman" w:eastAsia="Times New Roman" w:hAnsi="Times New Roman" w:cs="Times New Roman"/>
          <w:sz w:val="28"/>
          <w:szCs w:val="28"/>
        </w:rPr>
        <w:t xml:space="preserve"> доступі під час дії воєнного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стану.</w:t>
      </w:r>
    </w:p>
    <w:p w14:paraId="00000075" w14:textId="6DAB0F3A" w:rsidR="009D09A1" w:rsidRDefault="00631446" w:rsidP="00DA2B7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Інформація, що міститься в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містобудівному кадастрі ГІС і не має обмеження в доступі, надається фізичним та юридичним особам відповідно до законодавства України</w:t>
      </w:r>
      <w:r w:rsidR="00FF09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76" w14:textId="77777777" w:rsidR="009D09A1" w:rsidRDefault="009D09A1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6E294" w14:textId="77777777" w:rsidR="0037625B" w:rsidRDefault="0037625B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6642A0" w14:textId="77777777" w:rsidR="00FA7BE3" w:rsidRDefault="00FA7BE3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7" w14:textId="6D0EABD7" w:rsidR="009D09A1" w:rsidRDefault="0037625B" w:rsidP="009E4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                Олена ШОВГЕЛЯ</w:t>
      </w:r>
    </w:p>
    <w:sectPr w:rsidR="009D09A1" w:rsidSect="0006462B">
      <w:headerReference w:type="default" r:id="rId9"/>
      <w:pgSz w:w="11906" w:h="16838"/>
      <w:pgMar w:top="425" w:right="850" w:bottom="1135" w:left="1275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8C3A" w14:textId="77777777" w:rsidR="00263B41" w:rsidRDefault="00263B41" w:rsidP="00D44895">
      <w:pPr>
        <w:spacing w:after="0" w:line="240" w:lineRule="auto"/>
      </w:pPr>
      <w:r>
        <w:separator/>
      </w:r>
    </w:p>
  </w:endnote>
  <w:endnote w:type="continuationSeparator" w:id="0">
    <w:p w14:paraId="26192DEC" w14:textId="77777777" w:rsidR="00263B41" w:rsidRDefault="00263B41" w:rsidP="00D4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0B73A" w14:textId="77777777" w:rsidR="00263B41" w:rsidRDefault="00263B41" w:rsidP="00D44895">
      <w:pPr>
        <w:spacing w:after="0" w:line="240" w:lineRule="auto"/>
      </w:pPr>
      <w:r>
        <w:separator/>
      </w:r>
    </w:p>
  </w:footnote>
  <w:footnote w:type="continuationSeparator" w:id="0">
    <w:p w14:paraId="132A5ED2" w14:textId="77777777" w:rsidR="00263B41" w:rsidRDefault="00263B41" w:rsidP="00D4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333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93A8D1" w14:textId="1CD3E70B" w:rsidR="00D44895" w:rsidRPr="002D4401" w:rsidRDefault="00D44895" w:rsidP="002D440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4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4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4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4267" w:rsidRPr="0043426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D44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8F8"/>
    <w:multiLevelType w:val="multilevel"/>
    <w:tmpl w:val="2BB88DC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270D6744"/>
    <w:multiLevelType w:val="multilevel"/>
    <w:tmpl w:val="B0B2407A"/>
    <w:lvl w:ilvl="0">
      <w:start w:val="2"/>
      <w:numFmt w:val="decimal"/>
      <w:lvlText w:val="%1"/>
      <w:lvlJc w:val="left"/>
      <w:pPr>
        <w:ind w:left="576" w:hanging="576"/>
      </w:pPr>
    </w:lvl>
    <w:lvl w:ilvl="1">
      <w:start w:val="4"/>
      <w:numFmt w:val="decimal"/>
      <w:lvlText w:val="%1.%2"/>
      <w:lvlJc w:val="left"/>
      <w:pPr>
        <w:ind w:left="930" w:hanging="576"/>
      </w:pPr>
    </w:lvl>
    <w:lvl w:ilvl="2">
      <w:start w:val="3"/>
      <w:numFmt w:val="decimal"/>
      <w:lvlText w:val="%1.%2.%3"/>
      <w:lvlJc w:val="left"/>
      <w:pPr>
        <w:ind w:left="1428" w:hanging="719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2" w15:restartNumberingAfterBreak="0">
    <w:nsid w:val="31140894"/>
    <w:multiLevelType w:val="multilevel"/>
    <w:tmpl w:val="7C6E20A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4EE4522"/>
    <w:multiLevelType w:val="multilevel"/>
    <w:tmpl w:val="ED8213F2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623A3E"/>
    <w:multiLevelType w:val="multilevel"/>
    <w:tmpl w:val="138E88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5" w15:restartNumberingAfterBreak="0">
    <w:nsid w:val="3FE44687"/>
    <w:multiLevelType w:val="multilevel"/>
    <w:tmpl w:val="2F2AB204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415105ED"/>
    <w:multiLevelType w:val="multilevel"/>
    <w:tmpl w:val="28B61E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CC6F40"/>
    <w:multiLevelType w:val="multilevel"/>
    <w:tmpl w:val="7B3AC666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9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8" w15:restartNumberingAfterBreak="0">
    <w:nsid w:val="422077F7"/>
    <w:multiLevelType w:val="multilevel"/>
    <w:tmpl w:val="304054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432BDB"/>
    <w:multiLevelType w:val="multilevel"/>
    <w:tmpl w:val="435459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D579DC"/>
    <w:multiLevelType w:val="multilevel"/>
    <w:tmpl w:val="A02C528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B060EDF"/>
    <w:multiLevelType w:val="multilevel"/>
    <w:tmpl w:val="5BE256F4"/>
    <w:lvl w:ilvl="0">
      <w:start w:val="1"/>
      <w:numFmt w:val="bullet"/>
      <w:lvlText w:val="-"/>
      <w:lvlJc w:val="left"/>
      <w:pPr>
        <w:ind w:left="720" w:hanging="11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D1387F"/>
    <w:multiLevelType w:val="hybridMultilevel"/>
    <w:tmpl w:val="B1AA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379D9"/>
    <w:multiLevelType w:val="multilevel"/>
    <w:tmpl w:val="A43C30A0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7" w:hanging="55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4" w15:restartNumberingAfterBreak="0">
    <w:nsid w:val="7F3D2AE2"/>
    <w:multiLevelType w:val="multilevel"/>
    <w:tmpl w:val="BBEE2FD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09A1"/>
    <w:rsid w:val="00010492"/>
    <w:rsid w:val="00021605"/>
    <w:rsid w:val="0006462B"/>
    <w:rsid w:val="000A26EC"/>
    <w:rsid w:val="000D546E"/>
    <w:rsid w:val="000E1ABA"/>
    <w:rsid w:val="001F21AC"/>
    <w:rsid w:val="00205023"/>
    <w:rsid w:val="0023435F"/>
    <w:rsid w:val="00263B41"/>
    <w:rsid w:val="002826E1"/>
    <w:rsid w:val="002D4401"/>
    <w:rsid w:val="002F0E19"/>
    <w:rsid w:val="003346C0"/>
    <w:rsid w:val="0037625B"/>
    <w:rsid w:val="003A792C"/>
    <w:rsid w:val="003B4D94"/>
    <w:rsid w:val="00402962"/>
    <w:rsid w:val="0042139A"/>
    <w:rsid w:val="004237E0"/>
    <w:rsid w:val="00434267"/>
    <w:rsid w:val="00483392"/>
    <w:rsid w:val="004961E9"/>
    <w:rsid w:val="0050225E"/>
    <w:rsid w:val="005073F8"/>
    <w:rsid w:val="005515EA"/>
    <w:rsid w:val="00593F0B"/>
    <w:rsid w:val="005A236F"/>
    <w:rsid w:val="005D3EE4"/>
    <w:rsid w:val="005F5ECA"/>
    <w:rsid w:val="00631446"/>
    <w:rsid w:val="006B0079"/>
    <w:rsid w:val="006B4DB1"/>
    <w:rsid w:val="006C48F4"/>
    <w:rsid w:val="007077F5"/>
    <w:rsid w:val="00771841"/>
    <w:rsid w:val="007A56B2"/>
    <w:rsid w:val="007C79C7"/>
    <w:rsid w:val="00843109"/>
    <w:rsid w:val="008B4A96"/>
    <w:rsid w:val="008C7360"/>
    <w:rsid w:val="009373C2"/>
    <w:rsid w:val="0099521F"/>
    <w:rsid w:val="009D09A1"/>
    <w:rsid w:val="009E08FA"/>
    <w:rsid w:val="009E49DB"/>
    <w:rsid w:val="00A069B5"/>
    <w:rsid w:val="00A22A4A"/>
    <w:rsid w:val="00A55F95"/>
    <w:rsid w:val="00AB08A7"/>
    <w:rsid w:val="00AE59A4"/>
    <w:rsid w:val="00B75D72"/>
    <w:rsid w:val="00BB183C"/>
    <w:rsid w:val="00C243D8"/>
    <w:rsid w:val="00CB0263"/>
    <w:rsid w:val="00CB74D7"/>
    <w:rsid w:val="00CD0355"/>
    <w:rsid w:val="00D44895"/>
    <w:rsid w:val="00DA2B71"/>
    <w:rsid w:val="00DC418F"/>
    <w:rsid w:val="00E57A04"/>
    <w:rsid w:val="00E65C8D"/>
    <w:rsid w:val="00EA0ABF"/>
    <w:rsid w:val="00EC1E92"/>
    <w:rsid w:val="00F027A9"/>
    <w:rsid w:val="00F807D9"/>
    <w:rsid w:val="00FA7BE3"/>
    <w:rsid w:val="00FC0721"/>
    <w:rsid w:val="00FD058E"/>
    <w:rsid w:val="00FF0980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2D72"/>
  <w15:docId w15:val="{38397249-4692-4179-BE71-A919B694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104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895"/>
  </w:style>
  <w:style w:type="paragraph" w:styleId="a8">
    <w:name w:val="footer"/>
    <w:basedOn w:val="a"/>
    <w:link w:val="a9"/>
    <w:uiPriority w:val="99"/>
    <w:unhideWhenUsed/>
    <w:rsid w:val="00D4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895"/>
  </w:style>
  <w:style w:type="paragraph" w:styleId="aa">
    <w:name w:val="Balloon Text"/>
    <w:basedOn w:val="a"/>
    <w:link w:val="ab"/>
    <w:uiPriority w:val="99"/>
    <w:semiHidden/>
    <w:unhideWhenUsed/>
    <w:rsid w:val="006B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54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8A30-E1FA-4023-A616-B8CA69BA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zagalny301_2</cp:lastModifiedBy>
  <cp:revision>41</cp:revision>
  <cp:lastPrinted>2022-09-20T12:51:00Z</cp:lastPrinted>
  <dcterms:created xsi:type="dcterms:W3CDTF">2022-09-13T09:46:00Z</dcterms:created>
  <dcterms:modified xsi:type="dcterms:W3CDTF">2022-09-30T12:03:00Z</dcterms:modified>
</cp:coreProperties>
</file>