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A94F5E" w:rsidRDefault="00907CD8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D96D41"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98306E"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D4355" w:rsidRPr="00A94F5E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07CD8"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рішення міської ради</w:t>
      </w:r>
    </w:p>
    <w:p w:rsidR="003D4355" w:rsidRPr="00A94F5E" w:rsidRDefault="003D4355" w:rsidP="00006641">
      <w:pPr>
        <w:tabs>
          <w:tab w:val="left" w:pos="6480"/>
          <w:tab w:val="left" w:pos="126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6641" w:rsidRPr="00A94F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6641" w:rsidRPr="00A94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26.01.2022 №1124</w:t>
      </w:r>
    </w:p>
    <w:p w:rsidR="003D4355" w:rsidRPr="00A94F5E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3D1C" w:rsidRPr="00A94F5E" w:rsidRDefault="00E73D1C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A94F5E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A94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A94F5E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A94F5E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A94F5E" w:rsidRDefault="004E1659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2268"/>
        <w:gridCol w:w="7938"/>
      </w:tblGrid>
      <w:tr w:rsidR="00DC4E79" w:rsidRPr="00A94F5E" w:rsidTr="00E8194F">
        <w:tc>
          <w:tcPr>
            <w:tcW w:w="675" w:type="dxa"/>
          </w:tcPr>
          <w:p w:rsidR="00DC4E79" w:rsidRPr="00A94F5E" w:rsidRDefault="00744E2A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744E2A" w:rsidRPr="00A94F5E" w:rsidRDefault="00744E2A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</w:t>
            </w:r>
            <w:proofErr w:type="spellStart"/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DC4E79" w:rsidRPr="00A94F5E" w:rsidRDefault="00DC4E79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551" w:type="dxa"/>
            <w:vAlign w:val="center"/>
          </w:tcPr>
          <w:p w:rsidR="00DC4E79" w:rsidRPr="00A94F5E" w:rsidRDefault="00DC4E79" w:rsidP="00E73D1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268" w:type="dxa"/>
            <w:vAlign w:val="center"/>
          </w:tcPr>
          <w:p w:rsidR="00DC4E79" w:rsidRPr="00A94F5E" w:rsidRDefault="00DC4E79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A94F5E" w:rsidRDefault="00DC4E79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A94F5E" w:rsidRDefault="00DC4E79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A94F5E" w:rsidTr="00E8194F">
        <w:tc>
          <w:tcPr>
            <w:tcW w:w="675" w:type="dxa"/>
          </w:tcPr>
          <w:p w:rsidR="004753BC" w:rsidRPr="00A94F5E" w:rsidRDefault="004753BC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2127" w:type="dxa"/>
            <w:vAlign w:val="center"/>
          </w:tcPr>
          <w:p w:rsidR="004753BC" w:rsidRPr="00A94F5E" w:rsidRDefault="004753BC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551" w:type="dxa"/>
            <w:vAlign w:val="center"/>
          </w:tcPr>
          <w:p w:rsidR="004753BC" w:rsidRPr="00A94F5E" w:rsidRDefault="004753BC" w:rsidP="00E73D1C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4753BC" w:rsidRPr="00A94F5E" w:rsidRDefault="004753BC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A94F5E" w:rsidRDefault="004753BC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FE0F7E" w:rsidRPr="00A94F5E" w:rsidTr="009A3631">
        <w:trPr>
          <w:trHeight w:val="5691"/>
        </w:trPr>
        <w:tc>
          <w:tcPr>
            <w:tcW w:w="675" w:type="dxa"/>
          </w:tcPr>
          <w:p w:rsidR="00FE0F7E" w:rsidRPr="00A94F5E" w:rsidRDefault="00FE0F7E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27" w:type="dxa"/>
          </w:tcPr>
          <w:p w:rsidR="00FE0F7E" w:rsidRPr="00A94F5E" w:rsidRDefault="009A3631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Державна уст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нова «Криворіз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ка академія па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рульної поліції» </w:t>
            </w:r>
          </w:p>
        </w:tc>
        <w:tc>
          <w:tcPr>
            <w:tcW w:w="2551" w:type="dxa"/>
          </w:tcPr>
          <w:p w:rsidR="00FE0F7E" w:rsidRPr="00A94F5E" w:rsidRDefault="009A3631" w:rsidP="00E73D1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Розміщення навчал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="00CD7739" w:rsidRPr="00A94F5E">
              <w:rPr>
                <w:rFonts w:ascii="Times New Roman" w:hAnsi="Times New Roman" w:cs="Times New Roman"/>
                <w:sz w:val="25"/>
                <w:szCs w:val="25"/>
              </w:rPr>
              <w:t>но-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тренувального </w:t>
            </w:r>
            <w:proofErr w:type="spellStart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по-лігону</w:t>
            </w:r>
            <w:proofErr w:type="spellEnd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 для </w:t>
            </w:r>
            <w:r w:rsidR="00CD7739" w:rsidRPr="00A94F5E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доскон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лення навичок кер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вання автомобілем Державної установи «Криворізька акад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мія патрульної пол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ції» (зі зміною ціль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вого призначення </w:t>
            </w:r>
            <w:proofErr w:type="spellStart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зе-мельної</w:t>
            </w:r>
            <w:proofErr w:type="spellEnd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 ділянки)</w:t>
            </w:r>
          </w:p>
        </w:tc>
        <w:tc>
          <w:tcPr>
            <w:tcW w:w="2268" w:type="dxa"/>
          </w:tcPr>
          <w:p w:rsidR="00FE0F7E" w:rsidRPr="00A94F5E" w:rsidRDefault="00FE0F7E" w:rsidP="00D25A8B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="009A3631"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Електрозавод-ська</w:t>
            </w:r>
            <w:proofErr w:type="spellEnd"/>
            <w:r w:rsidR="009A3631"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 Покровс</w:t>
            </w:r>
            <w:r w:rsidR="009A3631"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</w:t>
            </w:r>
            <w:r w:rsidR="009A3631"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кому районі</w:t>
            </w:r>
          </w:p>
        </w:tc>
        <w:tc>
          <w:tcPr>
            <w:tcW w:w="7938" w:type="dxa"/>
          </w:tcPr>
          <w:p w:rsidR="00FE0F7E" w:rsidRPr="00A94F5E" w:rsidRDefault="009A3631" w:rsidP="00E73D1C">
            <w:pPr>
              <w:pStyle w:val="aa"/>
              <w:spacing w:before="0" w:beforeAutospacing="0" w:after="0" w:afterAutospacing="0"/>
              <w:ind w:firstLine="317"/>
              <w:jc w:val="both"/>
              <w:rPr>
                <w:color w:val="FF0000"/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 xml:space="preserve">1. </w:t>
            </w:r>
            <w:r w:rsidR="00FE0F7E" w:rsidRPr="00A94F5E">
              <w:rPr>
                <w:sz w:val="26"/>
                <w:szCs w:val="26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</w:t>
            </w:r>
            <w:r w:rsidR="00FE0F7E" w:rsidRPr="00A94F5E">
              <w:rPr>
                <w:sz w:val="26"/>
                <w:szCs w:val="26"/>
              </w:rPr>
              <w:t>а</w:t>
            </w:r>
            <w:r w:rsidR="00FE0F7E" w:rsidRPr="00A94F5E">
              <w:rPr>
                <w:sz w:val="26"/>
                <w:szCs w:val="26"/>
              </w:rPr>
              <w:t xml:space="preserve">ційної картки адміністративної послуги </w:t>
            </w:r>
            <w:r w:rsidR="006560A4" w:rsidRPr="00A94F5E">
              <w:rPr>
                <w:sz w:val="26"/>
                <w:szCs w:val="26"/>
              </w:rPr>
              <w:t>№24 (</w:t>
            </w:r>
            <w:r w:rsidR="00FE0F7E" w:rsidRPr="00A94F5E">
              <w:rPr>
                <w:sz w:val="26"/>
                <w:szCs w:val="26"/>
              </w:rPr>
              <w:t>04-01</w:t>
            </w:r>
            <w:r w:rsidR="006560A4" w:rsidRPr="00A94F5E">
              <w:rPr>
                <w:sz w:val="26"/>
                <w:szCs w:val="26"/>
              </w:rPr>
              <w:t>)</w:t>
            </w:r>
            <w:r w:rsidR="00FE0F7E" w:rsidRPr="00A94F5E">
              <w:rPr>
                <w:sz w:val="26"/>
                <w:szCs w:val="26"/>
              </w:rPr>
              <w:t xml:space="preserve"> «</w:t>
            </w:r>
            <w:r w:rsidRPr="00A94F5E">
              <w:rPr>
                <w:bCs/>
                <w:iCs/>
                <w:sz w:val="26"/>
                <w:szCs w:val="26"/>
              </w:rPr>
              <w:t>Затвердження детального плану території</w:t>
            </w:r>
            <w:r w:rsidR="00FE0F7E" w:rsidRPr="00A94F5E">
              <w:rPr>
                <w:sz w:val="26"/>
                <w:szCs w:val="26"/>
              </w:rPr>
              <w:t>», затвердженої рішенням виконкому м</w:t>
            </w:r>
            <w:r w:rsidR="00FE0F7E" w:rsidRPr="00A94F5E">
              <w:rPr>
                <w:sz w:val="26"/>
                <w:szCs w:val="26"/>
              </w:rPr>
              <w:t>і</w:t>
            </w:r>
            <w:r w:rsidR="00FE0F7E" w:rsidRPr="00A94F5E">
              <w:rPr>
                <w:sz w:val="26"/>
                <w:szCs w:val="26"/>
              </w:rPr>
              <w:t>ської ради від 1</w:t>
            </w:r>
            <w:r w:rsidRPr="00A94F5E">
              <w:rPr>
                <w:sz w:val="26"/>
                <w:szCs w:val="26"/>
              </w:rPr>
              <w:t>7</w:t>
            </w:r>
            <w:r w:rsidR="00FE0F7E" w:rsidRPr="00A94F5E">
              <w:rPr>
                <w:sz w:val="26"/>
                <w:szCs w:val="26"/>
              </w:rPr>
              <w:t>.</w:t>
            </w:r>
            <w:r w:rsidRPr="00A94F5E">
              <w:rPr>
                <w:sz w:val="26"/>
                <w:szCs w:val="26"/>
              </w:rPr>
              <w:t>11</w:t>
            </w:r>
            <w:r w:rsidR="00FE0F7E" w:rsidRPr="00A94F5E">
              <w:rPr>
                <w:sz w:val="26"/>
                <w:szCs w:val="26"/>
              </w:rPr>
              <w:t>.20</w:t>
            </w:r>
            <w:r w:rsidRPr="00A94F5E">
              <w:rPr>
                <w:sz w:val="26"/>
                <w:szCs w:val="26"/>
              </w:rPr>
              <w:t>21</w:t>
            </w:r>
            <w:r w:rsidR="00FE0F7E" w:rsidRPr="00A94F5E">
              <w:rPr>
                <w:sz w:val="26"/>
                <w:szCs w:val="26"/>
              </w:rPr>
              <w:t xml:space="preserve"> №</w:t>
            </w:r>
            <w:r w:rsidRPr="00A94F5E">
              <w:rPr>
                <w:sz w:val="26"/>
                <w:szCs w:val="26"/>
              </w:rPr>
              <w:t>608</w:t>
            </w:r>
            <w:r w:rsidR="00FE0F7E" w:rsidRPr="00A94F5E">
              <w:rPr>
                <w:sz w:val="26"/>
                <w:szCs w:val="26"/>
              </w:rPr>
              <w:t xml:space="preserve"> «</w:t>
            </w:r>
            <w:r w:rsidR="006560A4" w:rsidRPr="00A94F5E">
              <w:rPr>
                <w:sz w:val="26"/>
                <w:szCs w:val="26"/>
              </w:rPr>
              <w:t xml:space="preserve">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</w:t>
            </w:r>
            <w:r w:rsidR="006560A4" w:rsidRPr="00A94F5E">
              <w:rPr>
                <w:sz w:val="26"/>
                <w:szCs w:val="26"/>
                <w:lang w:eastAsia="zh-CN"/>
              </w:rPr>
              <w:t>виконкому Криворізької міської ради</w:t>
            </w:r>
            <w:r w:rsidR="00FE0F7E" w:rsidRPr="00A94F5E">
              <w:rPr>
                <w:sz w:val="26"/>
                <w:szCs w:val="26"/>
              </w:rPr>
              <w:t>»</w:t>
            </w:r>
            <w:r w:rsidR="00134413" w:rsidRPr="00A94F5E">
              <w:rPr>
                <w:sz w:val="26"/>
                <w:szCs w:val="26"/>
              </w:rPr>
              <w:t>, зі змінами</w:t>
            </w:r>
            <w:r w:rsidR="006560A4" w:rsidRPr="00A94F5E">
              <w:rPr>
                <w:sz w:val="26"/>
                <w:szCs w:val="26"/>
              </w:rPr>
              <w:t>.</w:t>
            </w:r>
            <w:r w:rsidR="006560A4" w:rsidRPr="00A94F5E">
              <w:rPr>
                <w:color w:val="FF0000"/>
                <w:sz w:val="26"/>
                <w:szCs w:val="26"/>
              </w:rPr>
              <w:t xml:space="preserve"> </w:t>
            </w:r>
          </w:p>
          <w:p w:rsidR="0005255C" w:rsidRPr="00A94F5E" w:rsidRDefault="0005255C" w:rsidP="00E73D1C">
            <w:pPr>
              <w:pStyle w:val="a4"/>
              <w:tabs>
                <w:tab w:val="left" w:pos="0"/>
                <w:tab w:val="left" w:pos="34"/>
                <w:tab w:val="left" w:pos="115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До заяви не надано </w:t>
            </w:r>
            <w:r w:rsidRPr="00A94F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детальний план території на електронних (у цифровій формі як набори профільних </w:t>
            </w:r>
            <w:proofErr w:type="spellStart"/>
            <w:r w:rsidRPr="00A94F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геопросторових</w:t>
            </w:r>
            <w:proofErr w:type="spellEnd"/>
            <w:r w:rsidRPr="00A94F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даних) та п</w:t>
            </w:r>
            <w:r w:rsidRPr="00A94F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94F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перових носіях (оригінал </w:t>
            </w:r>
            <w:r w:rsidR="00CD7739" w:rsidRPr="00A94F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r w:rsidRPr="00A94F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завірена розробником копія). </w:t>
            </w:r>
          </w:p>
          <w:p w:rsidR="00627961" w:rsidRPr="00A94F5E" w:rsidRDefault="006F6912" w:rsidP="00E73D1C">
            <w:pPr>
              <w:pStyle w:val="a4"/>
              <w:tabs>
                <w:tab w:val="left" w:pos="34"/>
                <w:tab w:val="left" w:pos="115"/>
                <w:tab w:val="left" w:pos="175"/>
                <w:tab w:val="left" w:pos="380"/>
              </w:tabs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E0F7E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627961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Невиконання вимог </w:t>
            </w:r>
            <w:r w:rsidR="00A058D8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</w:t>
            </w:r>
            <w:r w:rsidR="00627961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</w:t>
            </w:r>
            <w:r w:rsidR="00A058D8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20, </w:t>
            </w:r>
            <w:r w:rsidR="00627961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 Закону України «Про регул</w:t>
            </w:r>
            <w:r w:rsidR="00627961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="00627961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містобудівної діяльності», а саме: 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містобудівна документації не </w:t>
            </w:r>
            <w:r w:rsidR="00E73D1C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була розглянута на засіданні архітектурно-містобудівної ради при департаменті регулювання містобудівної діяльності та земельних відносин виконкому Криворізької міської ради та не 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пройшла пр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цедуру громадського обговорення щодо врахування громадських інтересів. </w:t>
            </w:r>
          </w:p>
          <w:p w:rsidR="00FE0F7E" w:rsidRPr="00A94F5E" w:rsidRDefault="00EF2B8C" w:rsidP="00E73D1C">
            <w:pPr>
              <w:pStyle w:val="a4"/>
              <w:tabs>
                <w:tab w:val="left" w:pos="34"/>
                <w:tab w:val="left" w:pos="175"/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4F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4. Не виконано вимоги</w:t>
            </w:r>
            <w:r w:rsidR="0091007A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затвердженого </w:t>
            </w:r>
            <w:r w:rsidR="0091007A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детального плану території замовником</w:t>
            </w:r>
          </w:p>
        </w:tc>
      </w:tr>
      <w:tr w:rsidR="00141BC7" w:rsidRPr="00A94F5E" w:rsidTr="00734B7C">
        <w:trPr>
          <w:trHeight w:val="315"/>
        </w:trPr>
        <w:tc>
          <w:tcPr>
            <w:tcW w:w="675" w:type="dxa"/>
          </w:tcPr>
          <w:p w:rsidR="00141BC7" w:rsidRPr="00A94F5E" w:rsidRDefault="00141BC7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141BC7" w:rsidRPr="00A94F5E" w:rsidRDefault="00141BC7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551" w:type="dxa"/>
            <w:vAlign w:val="center"/>
          </w:tcPr>
          <w:p w:rsidR="00141BC7" w:rsidRPr="00A94F5E" w:rsidRDefault="00141BC7" w:rsidP="00E73D1C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141BC7" w:rsidRPr="00A94F5E" w:rsidRDefault="00141BC7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141BC7" w:rsidRPr="00A94F5E" w:rsidRDefault="00141BC7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141BC7" w:rsidRPr="00A94F5E" w:rsidTr="00B15CC2">
        <w:trPr>
          <w:trHeight w:val="315"/>
        </w:trPr>
        <w:tc>
          <w:tcPr>
            <w:tcW w:w="675" w:type="dxa"/>
          </w:tcPr>
          <w:p w:rsidR="00141BC7" w:rsidRPr="00A94F5E" w:rsidRDefault="00E73D1C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27" w:type="dxa"/>
          </w:tcPr>
          <w:p w:rsidR="00E73D1C" w:rsidRPr="00A94F5E" w:rsidRDefault="00E73D1C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Громадянка Лук’янова </w:t>
            </w:r>
          </w:p>
          <w:p w:rsidR="00E73D1C" w:rsidRPr="00A94F5E" w:rsidRDefault="00E73D1C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Наталія </w:t>
            </w:r>
          </w:p>
          <w:p w:rsidR="00141BC7" w:rsidRPr="00A94F5E" w:rsidRDefault="00E73D1C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Олексіївна</w:t>
            </w:r>
          </w:p>
        </w:tc>
        <w:tc>
          <w:tcPr>
            <w:tcW w:w="2551" w:type="dxa"/>
          </w:tcPr>
          <w:p w:rsidR="00141BC7" w:rsidRPr="00A94F5E" w:rsidRDefault="00E73D1C" w:rsidP="00E73D1C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Будівництво та 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слуговування житл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вого будинку, госп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дарських будівель і споруд</w:t>
            </w:r>
          </w:p>
        </w:tc>
        <w:tc>
          <w:tcPr>
            <w:tcW w:w="2268" w:type="dxa"/>
          </w:tcPr>
          <w:p w:rsidR="00141BC7" w:rsidRPr="00A94F5E" w:rsidRDefault="00E73D1C" w:rsidP="00E73D1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Городище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ська</w:t>
            </w:r>
            <w:proofErr w:type="spellEnd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біля </w:t>
            </w:r>
            <w:proofErr w:type="spellStart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будин-ку</w:t>
            </w:r>
            <w:proofErr w:type="spellEnd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154 в Саксага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ському районі</w:t>
            </w:r>
          </w:p>
        </w:tc>
        <w:tc>
          <w:tcPr>
            <w:tcW w:w="7938" w:type="dxa"/>
          </w:tcPr>
          <w:p w:rsidR="00A91CF3" w:rsidRPr="00A94F5E" w:rsidRDefault="00E73D1C" w:rsidP="00E73D1C">
            <w:pPr>
              <w:pStyle w:val="aa"/>
              <w:spacing w:before="0" w:beforeAutospacing="0" w:after="0" w:afterAutospacing="0"/>
              <w:ind w:firstLine="34"/>
              <w:jc w:val="both"/>
              <w:rPr>
                <w:color w:val="FF0000"/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>1. Невідповідність наданого пакета документів вимогам чинного з</w:t>
            </w:r>
            <w:r w:rsidRPr="00A94F5E">
              <w:rPr>
                <w:sz w:val="26"/>
                <w:szCs w:val="26"/>
              </w:rPr>
              <w:t>а</w:t>
            </w:r>
            <w:r w:rsidRPr="00A94F5E">
              <w:rPr>
                <w:sz w:val="26"/>
                <w:szCs w:val="26"/>
              </w:rPr>
              <w:t>конодавства є підставою для відмови в наданні адміністративної п</w:t>
            </w:r>
            <w:r w:rsidRPr="00A94F5E">
              <w:rPr>
                <w:sz w:val="26"/>
                <w:szCs w:val="26"/>
              </w:rPr>
              <w:t>о</w:t>
            </w:r>
            <w:r w:rsidRPr="00A94F5E">
              <w:rPr>
                <w:sz w:val="26"/>
                <w:szCs w:val="26"/>
              </w:rPr>
              <w:t xml:space="preserve">слуги, що передбачено ст. 5 Закону України «Про адміністративні послуги» і п.13 інформаційної картки адміністративної послуги №24 </w:t>
            </w:r>
            <w:r w:rsidR="00A91CF3" w:rsidRPr="00A94F5E">
              <w:rPr>
                <w:sz w:val="26"/>
                <w:szCs w:val="26"/>
              </w:rPr>
              <w:t>(04-01)</w:t>
            </w:r>
            <w:r w:rsidR="00141BC7" w:rsidRPr="00A94F5E">
              <w:rPr>
                <w:sz w:val="26"/>
                <w:szCs w:val="26"/>
              </w:rPr>
              <w:t xml:space="preserve"> «</w:t>
            </w:r>
            <w:r w:rsidR="00141BC7" w:rsidRPr="00A94F5E">
              <w:rPr>
                <w:bCs/>
                <w:iCs/>
                <w:sz w:val="26"/>
                <w:szCs w:val="26"/>
              </w:rPr>
              <w:t>Затвердження</w:t>
            </w:r>
            <w:r w:rsidR="00A91CF3" w:rsidRPr="00A94F5E">
              <w:rPr>
                <w:bCs/>
                <w:iCs/>
                <w:sz w:val="26"/>
                <w:szCs w:val="26"/>
              </w:rPr>
              <w:t xml:space="preserve"> детального плану території</w:t>
            </w:r>
            <w:r w:rsidR="00A91CF3" w:rsidRPr="00A94F5E">
              <w:rPr>
                <w:sz w:val="26"/>
                <w:szCs w:val="26"/>
              </w:rPr>
              <w:t>», затвердженої рішенням виконкому міської ради від 17.11.2021 №608 «Про затве</w:t>
            </w:r>
            <w:r w:rsidR="00A91CF3" w:rsidRPr="00A94F5E">
              <w:rPr>
                <w:sz w:val="26"/>
                <w:szCs w:val="26"/>
              </w:rPr>
              <w:t>р</w:t>
            </w:r>
            <w:r w:rsidR="00A91CF3" w:rsidRPr="00A94F5E">
              <w:rPr>
                <w:sz w:val="26"/>
                <w:szCs w:val="26"/>
              </w:rPr>
              <w:t>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</w:t>
            </w:r>
            <w:r w:rsidR="00A91CF3" w:rsidRPr="00A94F5E">
              <w:rPr>
                <w:sz w:val="26"/>
                <w:szCs w:val="26"/>
              </w:rPr>
              <w:t>і</w:t>
            </w:r>
            <w:r w:rsidR="00A91CF3" w:rsidRPr="00A94F5E">
              <w:rPr>
                <w:sz w:val="26"/>
                <w:szCs w:val="26"/>
              </w:rPr>
              <w:t xml:space="preserve">зької міської ради через Центр адміністративних послуг «Віза» («Центр Дії») </w:t>
            </w:r>
            <w:r w:rsidR="00A91CF3" w:rsidRPr="00A94F5E">
              <w:rPr>
                <w:sz w:val="26"/>
                <w:szCs w:val="26"/>
                <w:lang w:eastAsia="zh-CN"/>
              </w:rPr>
              <w:t>виконкому Криворізької міської ради</w:t>
            </w:r>
            <w:r w:rsidR="00A91CF3" w:rsidRPr="00A94F5E">
              <w:rPr>
                <w:sz w:val="26"/>
                <w:szCs w:val="26"/>
              </w:rPr>
              <w:t>»</w:t>
            </w:r>
            <w:r w:rsidR="00134413" w:rsidRPr="00A94F5E">
              <w:rPr>
                <w:sz w:val="26"/>
                <w:szCs w:val="26"/>
              </w:rPr>
              <w:t>, зі змінами.</w:t>
            </w:r>
          </w:p>
          <w:p w:rsidR="00B15CC2" w:rsidRPr="00A94F5E" w:rsidRDefault="00B15CC2" w:rsidP="00E73D1C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1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Не виконано вимоги п.21 завдання на розроблення детального плану території, а саме: </w:t>
            </w:r>
            <w:r w:rsidR="00CD7739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 надано в електронній версії топографо-геодезичну зйомку, що використовувалася при розробці детального плану території, для внесення її до бази даних містобудівного када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</w:t>
            </w:r>
            <w:r w:rsidR="004C6E30"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E73D1C" w:rsidRPr="00A94F5E" w:rsidRDefault="004C6E30" w:rsidP="00E73D1C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1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При розробці детального плану території не враховано будів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льний паспорт «Нове будівництво індивідуального житлового буд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нку за адресою: Україна, Дніпропетровська область, місто Кривий Ріг, вулиця </w:t>
            </w:r>
            <w:proofErr w:type="spellStart"/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Городищенська</w:t>
            </w:r>
            <w:proofErr w:type="spellEnd"/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земельна ділянка, біля будинку 154» виданий 11.02.2020 департаментом регулювання містобудівної ді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A94F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льності та земельних відносин виконкому Криворізької міської ради на суміжній земельній ділянці з кадастровим номером 1211000000:06:194:0023</w:t>
            </w:r>
          </w:p>
        </w:tc>
      </w:tr>
      <w:tr w:rsidR="00327A29" w:rsidRPr="00A94F5E" w:rsidTr="00B15CC2">
        <w:trPr>
          <w:trHeight w:val="315"/>
        </w:trPr>
        <w:tc>
          <w:tcPr>
            <w:tcW w:w="675" w:type="dxa"/>
          </w:tcPr>
          <w:p w:rsidR="00327A29" w:rsidRPr="00A94F5E" w:rsidRDefault="00327A29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27" w:type="dxa"/>
          </w:tcPr>
          <w:p w:rsidR="00327A29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Громадяни 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Симукова</w:t>
            </w:r>
            <w:proofErr w:type="spellEnd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Любов 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Вікторівна,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Міщук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Данило 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Романович, 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Білий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Сергій</w:t>
            </w:r>
          </w:p>
          <w:p w:rsidR="006E69D2" w:rsidRPr="00A94F5E" w:rsidRDefault="006E69D2" w:rsidP="00E73D1C">
            <w:pPr>
              <w:tabs>
                <w:tab w:val="left" w:pos="6480"/>
              </w:tabs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Сергійович</w:t>
            </w:r>
          </w:p>
        </w:tc>
        <w:tc>
          <w:tcPr>
            <w:tcW w:w="2551" w:type="dxa"/>
          </w:tcPr>
          <w:p w:rsidR="00327A29" w:rsidRPr="00A94F5E" w:rsidRDefault="006E69D2" w:rsidP="00E73D1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Будівництво та 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слуговування житл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вого будинку, госп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дарських будівель та споруд (зі зміною цільового </w:t>
            </w:r>
            <w:proofErr w:type="spellStart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призначе-ння</w:t>
            </w:r>
            <w:proofErr w:type="spellEnd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 земельної діля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ки) </w:t>
            </w:r>
          </w:p>
        </w:tc>
        <w:tc>
          <w:tcPr>
            <w:tcW w:w="2268" w:type="dxa"/>
          </w:tcPr>
          <w:p w:rsidR="00327A29" w:rsidRPr="00A94F5E" w:rsidRDefault="00EE23D1" w:rsidP="00E73D1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Старомісь-</w:t>
            </w:r>
            <w:proofErr w:type="spellEnd"/>
            <w:r w:rsidR="00CD7739"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  <w:proofErr w:type="spellStart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="00CD7739"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proofErr w:type="spellEnd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14а в Центр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льно-Міському </w:t>
            </w:r>
            <w:proofErr w:type="spellStart"/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ра-йоні</w:t>
            </w:r>
            <w:proofErr w:type="spellEnd"/>
          </w:p>
        </w:tc>
        <w:tc>
          <w:tcPr>
            <w:tcW w:w="7938" w:type="dxa"/>
          </w:tcPr>
          <w:p w:rsidR="00327A29" w:rsidRPr="00A94F5E" w:rsidRDefault="00EE23D1" w:rsidP="00E73D1C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 5 Закону України «Про адміністративні послуги» і п.13 інформаційної картки адміністративної послуги №24 (04-01) «</w:t>
            </w:r>
            <w:r w:rsidRPr="00A94F5E">
              <w:rPr>
                <w:bCs/>
                <w:iCs/>
                <w:sz w:val="26"/>
                <w:szCs w:val="26"/>
              </w:rPr>
              <w:t>Затвердження детального плану території</w:t>
            </w:r>
            <w:r w:rsidRPr="00A94F5E">
              <w:rPr>
                <w:sz w:val="26"/>
                <w:szCs w:val="26"/>
              </w:rPr>
              <w:t>», затвердженої рішенням виконкому міської ради від 17.11.2021 №608 «Про затве</w:t>
            </w:r>
            <w:r w:rsidRPr="00A94F5E">
              <w:rPr>
                <w:sz w:val="26"/>
                <w:szCs w:val="26"/>
              </w:rPr>
              <w:t>р</w:t>
            </w:r>
            <w:r w:rsidRPr="00A94F5E">
              <w:rPr>
                <w:sz w:val="26"/>
                <w:szCs w:val="26"/>
              </w:rPr>
              <w:t xml:space="preserve">дження інформаційних і технологічних карток адміністративних та інших публічних послуг, що надаються департаментом регулювання містобудівної </w:t>
            </w:r>
            <w:r w:rsidR="00E73D1C" w:rsidRPr="00A94F5E">
              <w:rPr>
                <w:sz w:val="26"/>
                <w:szCs w:val="26"/>
              </w:rPr>
              <w:t xml:space="preserve"> </w:t>
            </w:r>
            <w:r w:rsidRPr="00A94F5E">
              <w:rPr>
                <w:sz w:val="26"/>
                <w:szCs w:val="26"/>
              </w:rPr>
              <w:t xml:space="preserve">діяльності та земельних відносин виконкому </w:t>
            </w:r>
            <w:proofErr w:type="spellStart"/>
            <w:r w:rsidRPr="00A94F5E">
              <w:rPr>
                <w:sz w:val="26"/>
                <w:szCs w:val="26"/>
              </w:rPr>
              <w:t>Криворі</w:t>
            </w:r>
            <w:r w:rsidR="00E73D1C" w:rsidRPr="00A94F5E">
              <w:rPr>
                <w:sz w:val="26"/>
                <w:szCs w:val="26"/>
              </w:rPr>
              <w:t>-</w:t>
            </w:r>
            <w:proofErr w:type="spellEnd"/>
          </w:p>
        </w:tc>
      </w:tr>
      <w:tr w:rsidR="00EE23D1" w:rsidRPr="00A94F5E" w:rsidTr="00964F2B">
        <w:trPr>
          <w:trHeight w:val="315"/>
        </w:trPr>
        <w:tc>
          <w:tcPr>
            <w:tcW w:w="675" w:type="dxa"/>
          </w:tcPr>
          <w:p w:rsidR="00EE23D1" w:rsidRPr="00A94F5E" w:rsidRDefault="00EE23D1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EE23D1" w:rsidRPr="00A94F5E" w:rsidRDefault="00EE23D1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551" w:type="dxa"/>
            <w:vAlign w:val="center"/>
          </w:tcPr>
          <w:p w:rsidR="00EE23D1" w:rsidRPr="00A94F5E" w:rsidRDefault="00EE23D1" w:rsidP="00E73D1C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EE23D1" w:rsidRPr="00A94F5E" w:rsidRDefault="00EE23D1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EE23D1" w:rsidRPr="00A94F5E" w:rsidRDefault="00EE23D1" w:rsidP="00E73D1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EE23D1" w:rsidRPr="00A94F5E" w:rsidTr="00B15CC2">
        <w:trPr>
          <w:trHeight w:val="315"/>
        </w:trPr>
        <w:tc>
          <w:tcPr>
            <w:tcW w:w="675" w:type="dxa"/>
          </w:tcPr>
          <w:p w:rsidR="00EE23D1" w:rsidRPr="00A94F5E" w:rsidRDefault="00EE23D1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EE23D1" w:rsidRPr="00A94F5E" w:rsidRDefault="00EE23D1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</w:tcPr>
          <w:p w:rsidR="00EE23D1" w:rsidRPr="00A94F5E" w:rsidRDefault="00EE23D1" w:rsidP="00E73D1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EE23D1" w:rsidRPr="00A94F5E" w:rsidRDefault="00EE23D1" w:rsidP="00E73D1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38" w:type="dxa"/>
          </w:tcPr>
          <w:p w:rsidR="00E73D1C" w:rsidRPr="00A94F5E" w:rsidRDefault="00E73D1C" w:rsidP="00E73D1C">
            <w:pPr>
              <w:pStyle w:val="aa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A94F5E">
              <w:rPr>
                <w:sz w:val="26"/>
                <w:szCs w:val="26"/>
              </w:rPr>
              <w:t>зької</w:t>
            </w:r>
            <w:proofErr w:type="spellEnd"/>
            <w:r w:rsidRPr="00A94F5E">
              <w:rPr>
                <w:sz w:val="26"/>
                <w:szCs w:val="26"/>
              </w:rPr>
              <w:t xml:space="preserve"> міської ради через Центр адміністративних послуг «Віза» («Центр Дії») </w:t>
            </w:r>
            <w:r w:rsidRPr="00A94F5E">
              <w:rPr>
                <w:sz w:val="26"/>
                <w:szCs w:val="26"/>
                <w:lang w:eastAsia="zh-CN"/>
              </w:rPr>
              <w:t>виконкому Криворізької міської ради</w:t>
            </w:r>
            <w:r w:rsidRPr="00A94F5E">
              <w:rPr>
                <w:sz w:val="26"/>
                <w:szCs w:val="26"/>
              </w:rPr>
              <w:t>», зі змінами.</w:t>
            </w:r>
          </w:p>
          <w:p w:rsidR="00EE23D1" w:rsidRPr="00A94F5E" w:rsidRDefault="00E73D1C" w:rsidP="00E73D1C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>2. Не виконано вимоги пп.13, 21 завдання на розроблення детал</w:t>
            </w:r>
            <w:r w:rsidRPr="00A94F5E">
              <w:rPr>
                <w:sz w:val="26"/>
                <w:szCs w:val="26"/>
              </w:rPr>
              <w:t>ь</w:t>
            </w:r>
            <w:r w:rsidRPr="00A94F5E">
              <w:rPr>
                <w:sz w:val="26"/>
                <w:szCs w:val="26"/>
              </w:rPr>
              <w:t xml:space="preserve">ного плану території, а саме: містобудівна документація розроблена </w:t>
            </w:r>
            <w:r w:rsidR="004C707D" w:rsidRPr="00A94F5E">
              <w:rPr>
                <w:sz w:val="26"/>
                <w:szCs w:val="26"/>
              </w:rPr>
              <w:t>не на актуалізованій більше</w:t>
            </w:r>
            <w:r w:rsidR="00BD033C" w:rsidRPr="00A94F5E">
              <w:rPr>
                <w:sz w:val="26"/>
                <w:szCs w:val="26"/>
              </w:rPr>
              <w:t xml:space="preserve"> року, картографічній основі та не надано в електронній версії топографо-</w:t>
            </w:r>
            <w:r w:rsidR="00EE23D1" w:rsidRPr="00A94F5E">
              <w:rPr>
                <w:sz w:val="26"/>
                <w:szCs w:val="26"/>
              </w:rPr>
              <w:t>геодезичну зйомку, що використов</w:t>
            </w:r>
            <w:r w:rsidR="00EE23D1" w:rsidRPr="00A94F5E">
              <w:rPr>
                <w:sz w:val="26"/>
                <w:szCs w:val="26"/>
              </w:rPr>
              <w:t>у</w:t>
            </w:r>
            <w:r w:rsidR="00EE23D1" w:rsidRPr="00A94F5E">
              <w:rPr>
                <w:sz w:val="26"/>
                <w:szCs w:val="26"/>
              </w:rPr>
              <w:t>валася при розробці детального плану території, для внесення її до бази даних містобудівного кадастру.</w:t>
            </w:r>
          </w:p>
          <w:p w:rsidR="00E73D1C" w:rsidRPr="00A94F5E" w:rsidRDefault="00EE23D1" w:rsidP="00E73D1C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  <w:shd w:val="clear" w:color="auto" w:fill="FFFFFF"/>
              </w:rPr>
            </w:pPr>
            <w:r w:rsidRPr="00A94F5E">
              <w:rPr>
                <w:sz w:val="26"/>
                <w:szCs w:val="26"/>
              </w:rPr>
              <w:t>3. Невідповідність ст.2 Закону України «Про регулювання міст</w:t>
            </w:r>
            <w:r w:rsidRPr="00A94F5E">
              <w:rPr>
                <w:sz w:val="26"/>
                <w:szCs w:val="26"/>
              </w:rPr>
              <w:t>о</w:t>
            </w:r>
            <w:r w:rsidRPr="00A94F5E">
              <w:rPr>
                <w:sz w:val="26"/>
                <w:szCs w:val="26"/>
              </w:rPr>
              <w:t>будівної документації», а саме: містобудівну документацію викон</w:t>
            </w:r>
            <w:r w:rsidRPr="00A94F5E">
              <w:rPr>
                <w:sz w:val="26"/>
                <w:szCs w:val="26"/>
              </w:rPr>
              <w:t>а</w:t>
            </w:r>
            <w:r w:rsidRPr="00A94F5E">
              <w:rPr>
                <w:sz w:val="26"/>
                <w:szCs w:val="26"/>
              </w:rPr>
              <w:t xml:space="preserve">но </w:t>
            </w:r>
            <w:r w:rsidR="003C2797" w:rsidRPr="00A94F5E">
              <w:rPr>
                <w:sz w:val="26"/>
                <w:szCs w:val="26"/>
              </w:rPr>
              <w:t xml:space="preserve">не </w:t>
            </w:r>
            <w:r w:rsidR="003C2797" w:rsidRPr="00A94F5E">
              <w:rPr>
                <w:sz w:val="26"/>
                <w:szCs w:val="26"/>
                <w:shd w:val="clear" w:color="auto" w:fill="FFFFFF"/>
              </w:rPr>
              <w:t>на оновленій картографічній основі в цифровій формі як наб</w:t>
            </w:r>
            <w:r w:rsidR="003C2797" w:rsidRPr="00A94F5E">
              <w:rPr>
                <w:sz w:val="26"/>
                <w:szCs w:val="26"/>
                <w:shd w:val="clear" w:color="auto" w:fill="FFFFFF"/>
              </w:rPr>
              <w:t>о</w:t>
            </w:r>
            <w:r w:rsidR="003C2797" w:rsidRPr="00A94F5E">
              <w:rPr>
                <w:sz w:val="26"/>
                <w:szCs w:val="26"/>
                <w:shd w:val="clear" w:color="auto" w:fill="FFFFFF"/>
              </w:rPr>
              <w:t xml:space="preserve">ри профільних </w:t>
            </w:r>
            <w:proofErr w:type="spellStart"/>
            <w:r w:rsidR="003C2797" w:rsidRPr="00A94F5E">
              <w:rPr>
                <w:sz w:val="26"/>
                <w:szCs w:val="26"/>
                <w:shd w:val="clear" w:color="auto" w:fill="FFFFFF"/>
              </w:rPr>
              <w:t>геопросторових</w:t>
            </w:r>
            <w:proofErr w:type="spellEnd"/>
            <w:r w:rsidR="003C2797" w:rsidRPr="00A94F5E">
              <w:rPr>
                <w:sz w:val="26"/>
                <w:szCs w:val="26"/>
                <w:shd w:val="clear" w:color="auto" w:fill="FFFFFF"/>
              </w:rPr>
              <w:t xml:space="preserve"> даних у державній геодезичній си</w:t>
            </w:r>
            <w:r w:rsidR="003C2797" w:rsidRPr="00A94F5E">
              <w:rPr>
                <w:sz w:val="26"/>
                <w:szCs w:val="26"/>
                <w:shd w:val="clear" w:color="auto" w:fill="FFFFFF"/>
              </w:rPr>
              <w:t>с</w:t>
            </w:r>
            <w:r w:rsidR="003C2797" w:rsidRPr="00A94F5E">
              <w:rPr>
                <w:sz w:val="26"/>
                <w:szCs w:val="26"/>
                <w:shd w:val="clear" w:color="auto" w:fill="FFFFFF"/>
              </w:rPr>
              <w:t>темі координат УСК-2000 і єдиній системі класифікації та кодування об’єктів будівництва для формування баз даних містобудівного к</w:t>
            </w:r>
            <w:r w:rsidR="003C2797" w:rsidRPr="00A94F5E">
              <w:rPr>
                <w:sz w:val="26"/>
                <w:szCs w:val="26"/>
                <w:shd w:val="clear" w:color="auto" w:fill="FFFFFF"/>
              </w:rPr>
              <w:t>а</w:t>
            </w:r>
            <w:r w:rsidR="003C2797" w:rsidRPr="00A94F5E">
              <w:rPr>
                <w:sz w:val="26"/>
                <w:szCs w:val="26"/>
                <w:shd w:val="clear" w:color="auto" w:fill="FFFFFF"/>
              </w:rPr>
              <w:t>дастру</w:t>
            </w:r>
          </w:p>
        </w:tc>
      </w:tr>
      <w:tr w:rsidR="003C2797" w:rsidRPr="00A94F5E" w:rsidTr="00B15CC2">
        <w:trPr>
          <w:trHeight w:val="315"/>
        </w:trPr>
        <w:tc>
          <w:tcPr>
            <w:tcW w:w="675" w:type="dxa"/>
          </w:tcPr>
          <w:p w:rsidR="003C2797" w:rsidRPr="00A94F5E" w:rsidRDefault="003C2797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27" w:type="dxa"/>
          </w:tcPr>
          <w:p w:rsidR="003C2797" w:rsidRPr="00A94F5E" w:rsidRDefault="003C2797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Громадянин </w:t>
            </w:r>
          </w:p>
          <w:p w:rsidR="003C2797" w:rsidRPr="00A94F5E" w:rsidRDefault="000551EF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="003C2797" w:rsidRPr="00A94F5E">
              <w:rPr>
                <w:rFonts w:ascii="Times New Roman" w:hAnsi="Times New Roman" w:cs="Times New Roman"/>
                <w:sz w:val="25"/>
                <w:szCs w:val="25"/>
              </w:rPr>
              <w:t>лівка</w:t>
            </w:r>
            <w:proofErr w:type="spellEnd"/>
          </w:p>
          <w:p w:rsidR="003C2797" w:rsidRPr="00A94F5E" w:rsidRDefault="003C2797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Євген </w:t>
            </w:r>
          </w:p>
          <w:p w:rsidR="003C2797" w:rsidRPr="00A94F5E" w:rsidRDefault="003C2797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Вікторович</w:t>
            </w:r>
          </w:p>
        </w:tc>
        <w:tc>
          <w:tcPr>
            <w:tcW w:w="2551" w:type="dxa"/>
          </w:tcPr>
          <w:p w:rsidR="003C2797" w:rsidRPr="00A94F5E" w:rsidRDefault="003C2797" w:rsidP="00E73D1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Будівництво та 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слуговування житл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вого будинку, госп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дарських будівель </w:t>
            </w:r>
            <w:r w:rsidR="00CD7739" w:rsidRPr="00A94F5E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A94F5E">
              <w:rPr>
                <w:rFonts w:ascii="Times New Roman" w:hAnsi="Times New Roman" w:cs="Times New Roman"/>
                <w:sz w:val="25"/>
                <w:szCs w:val="25"/>
              </w:rPr>
              <w:t xml:space="preserve"> споруд</w:t>
            </w:r>
          </w:p>
        </w:tc>
        <w:tc>
          <w:tcPr>
            <w:tcW w:w="2268" w:type="dxa"/>
          </w:tcPr>
          <w:p w:rsidR="003C2797" w:rsidRPr="00A94F5E" w:rsidRDefault="003C2797" w:rsidP="00E73D1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вул. 50-річчя П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ремоги біля буд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нку 32 </w:t>
            </w:r>
            <w:r w:rsidR="00CD7739"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Покро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A94F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ському районі</w:t>
            </w:r>
          </w:p>
        </w:tc>
        <w:tc>
          <w:tcPr>
            <w:tcW w:w="7938" w:type="dxa"/>
          </w:tcPr>
          <w:p w:rsidR="003C2797" w:rsidRPr="00A94F5E" w:rsidRDefault="003C2797" w:rsidP="00E73D1C">
            <w:pPr>
              <w:pStyle w:val="aa"/>
              <w:spacing w:before="0" w:beforeAutospacing="0" w:after="0" w:afterAutospacing="0"/>
              <w:ind w:firstLine="317"/>
              <w:jc w:val="both"/>
              <w:rPr>
                <w:color w:val="FF0000"/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 5 Закону України «Про адміністративні послуги» і п.13 інформаційної картки адміністративної послуги №24 (04-01) «</w:t>
            </w:r>
            <w:r w:rsidRPr="00A94F5E">
              <w:rPr>
                <w:bCs/>
                <w:iCs/>
                <w:sz w:val="26"/>
                <w:szCs w:val="26"/>
              </w:rPr>
              <w:t>Затвердження детального плану території</w:t>
            </w:r>
            <w:r w:rsidRPr="00A94F5E">
              <w:rPr>
                <w:sz w:val="26"/>
                <w:szCs w:val="26"/>
              </w:rPr>
              <w:t>», затвердженої рішенням виконкому міської ради від 17.11.2021 №608 «Про затве</w:t>
            </w:r>
            <w:r w:rsidRPr="00A94F5E">
              <w:rPr>
                <w:sz w:val="26"/>
                <w:szCs w:val="26"/>
              </w:rPr>
              <w:t>р</w:t>
            </w:r>
            <w:r w:rsidRPr="00A94F5E">
              <w:rPr>
                <w:sz w:val="26"/>
                <w:szCs w:val="26"/>
              </w:rPr>
              <w:t>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</w:t>
            </w:r>
            <w:r w:rsidRPr="00A94F5E">
              <w:rPr>
                <w:sz w:val="26"/>
                <w:szCs w:val="26"/>
              </w:rPr>
              <w:t>і</w:t>
            </w:r>
            <w:r w:rsidRPr="00A94F5E">
              <w:rPr>
                <w:sz w:val="26"/>
                <w:szCs w:val="26"/>
              </w:rPr>
              <w:t xml:space="preserve">зької міської ради через Центр адміністративних послуг «Віза» («Центр Дії») </w:t>
            </w:r>
            <w:r w:rsidRPr="00A94F5E">
              <w:rPr>
                <w:sz w:val="26"/>
                <w:szCs w:val="26"/>
                <w:lang w:eastAsia="zh-CN"/>
              </w:rPr>
              <w:t>виконкому Криворізької міської ради</w:t>
            </w:r>
            <w:r w:rsidRPr="00A94F5E">
              <w:rPr>
                <w:sz w:val="26"/>
                <w:szCs w:val="26"/>
              </w:rPr>
              <w:t>»</w:t>
            </w:r>
            <w:r w:rsidR="00134413" w:rsidRPr="00A94F5E">
              <w:rPr>
                <w:sz w:val="26"/>
                <w:szCs w:val="26"/>
              </w:rPr>
              <w:t>, зі змінами.</w:t>
            </w:r>
          </w:p>
          <w:p w:rsidR="003C2797" w:rsidRPr="00A94F5E" w:rsidRDefault="003C2797" w:rsidP="00E73D1C">
            <w:pPr>
              <w:pStyle w:val="aa"/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>2. Не виконано вимогу архітектурно-містобудівної ради при деп</w:t>
            </w:r>
            <w:r w:rsidRPr="00A94F5E">
              <w:rPr>
                <w:sz w:val="26"/>
                <w:szCs w:val="26"/>
              </w:rPr>
              <w:t>а</w:t>
            </w:r>
            <w:r w:rsidRPr="00A94F5E">
              <w:rPr>
                <w:sz w:val="26"/>
                <w:szCs w:val="26"/>
              </w:rPr>
              <w:t>ртаменті регулювання містобудівної діяльності та земельних відн</w:t>
            </w:r>
            <w:r w:rsidRPr="00A94F5E">
              <w:rPr>
                <w:sz w:val="26"/>
                <w:szCs w:val="26"/>
              </w:rPr>
              <w:t>о</w:t>
            </w:r>
            <w:r w:rsidRPr="00A94F5E">
              <w:rPr>
                <w:sz w:val="26"/>
                <w:szCs w:val="26"/>
              </w:rPr>
              <w:t>син виконкому Криворізьк</w:t>
            </w:r>
            <w:r w:rsidR="00CD7739" w:rsidRPr="00A94F5E">
              <w:rPr>
                <w:sz w:val="26"/>
                <w:szCs w:val="26"/>
              </w:rPr>
              <w:t>ої міської ради від 09.02.2021</w:t>
            </w:r>
            <w:r w:rsidRPr="00A94F5E">
              <w:rPr>
                <w:sz w:val="26"/>
                <w:szCs w:val="26"/>
              </w:rPr>
              <w:t xml:space="preserve">, а саме: не надано детальний план території на </w:t>
            </w:r>
            <w:r w:rsidR="00CD7739" w:rsidRPr="00A94F5E">
              <w:rPr>
                <w:sz w:val="26"/>
                <w:szCs w:val="26"/>
              </w:rPr>
              <w:t xml:space="preserve">її </w:t>
            </w:r>
            <w:r w:rsidRPr="00A94F5E">
              <w:rPr>
                <w:sz w:val="26"/>
                <w:szCs w:val="26"/>
              </w:rPr>
              <w:t xml:space="preserve">повторний розгляд. </w:t>
            </w:r>
          </w:p>
          <w:p w:rsidR="0032582C" w:rsidRPr="00A94F5E" w:rsidRDefault="0032582C" w:rsidP="00E73D1C">
            <w:pPr>
              <w:pStyle w:val="aa"/>
              <w:spacing w:before="0" w:beforeAutospacing="0" w:after="0" w:afterAutospacing="0"/>
              <w:ind w:firstLine="317"/>
              <w:jc w:val="both"/>
              <w:rPr>
                <w:rFonts w:eastAsia="Calibri"/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 xml:space="preserve">3. </w:t>
            </w:r>
            <w:r w:rsidR="0041573E" w:rsidRPr="00A94F5E">
              <w:rPr>
                <w:sz w:val="26"/>
                <w:szCs w:val="26"/>
              </w:rPr>
              <w:t xml:space="preserve">Не оновлено відомості щодо розміщення земельної ділянки </w:t>
            </w:r>
            <w:proofErr w:type="spellStart"/>
            <w:r w:rsidR="0041573E" w:rsidRPr="00A94F5E">
              <w:rPr>
                <w:sz w:val="26"/>
                <w:szCs w:val="26"/>
              </w:rPr>
              <w:t>від-</w:t>
            </w:r>
            <w:proofErr w:type="spellEnd"/>
            <w:r w:rsidR="0041573E" w:rsidRPr="00A94F5E">
              <w:rPr>
                <w:sz w:val="26"/>
                <w:szCs w:val="26"/>
              </w:rPr>
              <w:t xml:space="preserve"> </w:t>
            </w:r>
            <w:proofErr w:type="spellStart"/>
            <w:r w:rsidR="0041573E" w:rsidRPr="00A94F5E">
              <w:rPr>
                <w:sz w:val="26"/>
                <w:szCs w:val="26"/>
              </w:rPr>
              <w:t>повідно</w:t>
            </w:r>
            <w:proofErr w:type="spellEnd"/>
            <w:r w:rsidR="0041573E" w:rsidRPr="00A94F5E">
              <w:rPr>
                <w:sz w:val="26"/>
                <w:szCs w:val="26"/>
              </w:rPr>
              <w:t xml:space="preserve"> до </w:t>
            </w:r>
            <w:r w:rsidR="0041573E" w:rsidRPr="00A94F5E">
              <w:rPr>
                <w:rFonts w:eastAsia="Calibri"/>
                <w:sz w:val="26"/>
                <w:szCs w:val="26"/>
              </w:rPr>
              <w:t xml:space="preserve">містобудівної документації «Актуалізація плану </w:t>
            </w:r>
            <w:proofErr w:type="spellStart"/>
            <w:r w:rsidR="0041573E" w:rsidRPr="00A94F5E">
              <w:rPr>
                <w:rFonts w:eastAsia="Calibri"/>
                <w:sz w:val="26"/>
                <w:szCs w:val="26"/>
              </w:rPr>
              <w:t>зонуван</w:t>
            </w:r>
            <w:r w:rsidR="00E73D1C" w:rsidRPr="00A94F5E">
              <w:rPr>
                <w:rFonts w:eastAsia="Calibri"/>
                <w:sz w:val="26"/>
                <w:szCs w:val="26"/>
              </w:rPr>
              <w:t>-</w:t>
            </w:r>
            <w:proofErr w:type="spellEnd"/>
          </w:p>
          <w:p w:rsidR="00CD0BFC" w:rsidRPr="00A94F5E" w:rsidRDefault="00CD0BFC" w:rsidP="00CD0BFC">
            <w:pPr>
              <w:pStyle w:val="aa"/>
              <w:spacing w:before="0" w:beforeAutospacing="0" w:after="0" w:afterAutospacing="0"/>
              <w:ind w:firstLine="34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A94F5E">
              <w:rPr>
                <w:rFonts w:eastAsia="Calibri"/>
                <w:sz w:val="26"/>
                <w:szCs w:val="26"/>
              </w:rPr>
              <w:t>ня</w:t>
            </w:r>
            <w:proofErr w:type="spellEnd"/>
            <w:r w:rsidRPr="00A94F5E">
              <w:rPr>
                <w:rFonts w:eastAsia="Calibri"/>
                <w:sz w:val="26"/>
                <w:szCs w:val="26"/>
              </w:rPr>
              <w:t xml:space="preserve"> м. Кривого Рогу», затвердженої </w:t>
            </w:r>
            <w:r w:rsidRPr="00A94F5E">
              <w:rPr>
                <w:sz w:val="26"/>
                <w:szCs w:val="26"/>
              </w:rPr>
              <w:t>рішенням міської ради 30.06.2021</w:t>
            </w:r>
          </w:p>
        </w:tc>
      </w:tr>
      <w:tr w:rsidR="00E73D1C" w:rsidRPr="00A94F5E" w:rsidTr="00466BBE">
        <w:trPr>
          <w:trHeight w:val="315"/>
        </w:trPr>
        <w:tc>
          <w:tcPr>
            <w:tcW w:w="675" w:type="dxa"/>
          </w:tcPr>
          <w:p w:rsidR="00E73D1C" w:rsidRPr="00A94F5E" w:rsidRDefault="00E73D1C" w:rsidP="004B72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E73D1C" w:rsidRPr="00A94F5E" w:rsidRDefault="00E73D1C" w:rsidP="004B72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551" w:type="dxa"/>
            <w:vAlign w:val="center"/>
          </w:tcPr>
          <w:p w:rsidR="00E73D1C" w:rsidRPr="00A94F5E" w:rsidRDefault="00E73D1C" w:rsidP="004B720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A94F5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268" w:type="dxa"/>
            <w:vAlign w:val="center"/>
          </w:tcPr>
          <w:p w:rsidR="00E73D1C" w:rsidRPr="00A94F5E" w:rsidRDefault="00E73D1C" w:rsidP="004B720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E73D1C" w:rsidRPr="00A94F5E" w:rsidRDefault="00E73D1C" w:rsidP="004B7202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A94F5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E73D1C" w:rsidRPr="00A94F5E" w:rsidTr="00B15CC2">
        <w:trPr>
          <w:trHeight w:val="315"/>
        </w:trPr>
        <w:tc>
          <w:tcPr>
            <w:tcW w:w="675" w:type="dxa"/>
          </w:tcPr>
          <w:p w:rsidR="00E73D1C" w:rsidRPr="00A94F5E" w:rsidRDefault="00E73D1C" w:rsidP="00E73D1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E73D1C" w:rsidRPr="00A94F5E" w:rsidRDefault="00E73D1C" w:rsidP="00E73D1C">
            <w:pPr>
              <w:tabs>
                <w:tab w:val="left" w:pos="648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</w:tcPr>
          <w:p w:rsidR="00E73D1C" w:rsidRPr="00A94F5E" w:rsidRDefault="00E73D1C" w:rsidP="00E73D1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E73D1C" w:rsidRPr="00A94F5E" w:rsidRDefault="00E73D1C" w:rsidP="00E73D1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38" w:type="dxa"/>
          </w:tcPr>
          <w:p w:rsidR="00E73D1C" w:rsidRPr="00A94F5E" w:rsidRDefault="00E73D1C" w:rsidP="00E73D1C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94F5E">
              <w:rPr>
                <w:sz w:val="26"/>
                <w:szCs w:val="26"/>
              </w:rPr>
              <w:t>№591 «</w:t>
            </w:r>
            <w:r w:rsidRPr="00A94F5E">
              <w:rPr>
                <w:rFonts w:eastAsia="Calibri"/>
                <w:sz w:val="26"/>
                <w:szCs w:val="26"/>
              </w:rPr>
              <w:t>Про внесення змін до плану зонування території м. Кривого Рогу шляхом затвердження містобудівної документації «Актуаліз</w:t>
            </w:r>
            <w:r w:rsidRPr="00A94F5E">
              <w:rPr>
                <w:rFonts w:eastAsia="Calibri"/>
                <w:sz w:val="26"/>
                <w:szCs w:val="26"/>
              </w:rPr>
              <w:t>а</w:t>
            </w:r>
            <w:r w:rsidRPr="00A94F5E">
              <w:rPr>
                <w:rFonts w:eastAsia="Calibri"/>
                <w:sz w:val="26"/>
                <w:szCs w:val="26"/>
              </w:rPr>
              <w:t>ція плану зонування м. Кривого Рогу».</w:t>
            </w:r>
          </w:p>
        </w:tc>
      </w:tr>
    </w:tbl>
    <w:p w:rsidR="00090721" w:rsidRPr="00A94F5E" w:rsidRDefault="00090721" w:rsidP="0041573E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Pr="00A94F5E" w:rsidRDefault="004C5C3F" w:rsidP="0041573E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D21DBB" w:rsidRPr="00A94F5E" w:rsidRDefault="00D21DBB" w:rsidP="0041573E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E73D1C" w:rsidRPr="00A94F5E" w:rsidRDefault="00E73D1C" w:rsidP="0041573E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A94F5E" w:rsidRDefault="00C44607" w:rsidP="0041573E">
      <w:pPr>
        <w:tabs>
          <w:tab w:val="left" w:pos="6804"/>
        </w:tabs>
        <w:spacing w:after="0" w:line="228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F5E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A94F5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7CD8" w:rsidRPr="00A94F5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A94F5E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  <w:bookmarkEnd w:id="0"/>
    </w:p>
    <w:sectPr w:rsidR="00C44607" w:rsidRPr="00A94F5E" w:rsidSect="00E73D1C">
      <w:headerReference w:type="default" r:id="rId8"/>
      <w:pgSz w:w="16838" w:h="11906" w:orient="landscape"/>
      <w:pgMar w:top="567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2" w:rsidRPr="00B31753" w:rsidRDefault="001B29E2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1B29E2" w:rsidRPr="00B31753" w:rsidRDefault="001B29E2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2" w:rsidRPr="00B31753" w:rsidRDefault="001B29E2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1B29E2" w:rsidRPr="00B31753" w:rsidRDefault="001B29E2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2D8B" w:rsidRDefault="006C53A2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2D8B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F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2D8B" w:rsidRPr="00124D42" w:rsidRDefault="00907CD8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DD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1">
    <w:nsid w:val="113561B9"/>
    <w:multiLevelType w:val="multilevel"/>
    <w:tmpl w:val="E18ECA3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00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6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7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37" w:hanging="1800"/>
      </w:pPr>
      <w:rPr>
        <w:rFonts w:hint="default"/>
        <w:color w:val="auto"/>
      </w:rPr>
    </w:lvl>
  </w:abstractNum>
  <w:abstractNum w:abstractNumId="2">
    <w:nsid w:val="1EEC758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0FCE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190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447B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6242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7">
    <w:nsid w:val="4C1869BA"/>
    <w:multiLevelType w:val="hybridMultilevel"/>
    <w:tmpl w:val="11B4644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A523C25"/>
    <w:multiLevelType w:val="hybridMultilevel"/>
    <w:tmpl w:val="11B4644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659A0478"/>
    <w:multiLevelType w:val="hybridMultilevel"/>
    <w:tmpl w:val="11B4644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70D735C7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06641"/>
    <w:rsid w:val="00007973"/>
    <w:rsid w:val="000230B3"/>
    <w:rsid w:val="00050354"/>
    <w:rsid w:val="0005255C"/>
    <w:rsid w:val="000551EF"/>
    <w:rsid w:val="00067CE9"/>
    <w:rsid w:val="00080091"/>
    <w:rsid w:val="000822AD"/>
    <w:rsid w:val="00087B4F"/>
    <w:rsid w:val="00090721"/>
    <w:rsid w:val="000938DE"/>
    <w:rsid w:val="000A07A0"/>
    <w:rsid w:val="000A263A"/>
    <w:rsid w:val="000A79A2"/>
    <w:rsid w:val="000B5208"/>
    <w:rsid w:val="000C1736"/>
    <w:rsid w:val="000C5FF8"/>
    <w:rsid w:val="000D2078"/>
    <w:rsid w:val="000D608A"/>
    <w:rsid w:val="000E7E74"/>
    <w:rsid w:val="0010081F"/>
    <w:rsid w:val="0010709F"/>
    <w:rsid w:val="00111381"/>
    <w:rsid w:val="0011500B"/>
    <w:rsid w:val="001155EB"/>
    <w:rsid w:val="00124D42"/>
    <w:rsid w:val="00131CD2"/>
    <w:rsid w:val="001335D1"/>
    <w:rsid w:val="00134413"/>
    <w:rsid w:val="00137D11"/>
    <w:rsid w:val="00141BC7"/>
    <w:rsid w:val="0015141F"/>
    <w:rsid w:val="001537CF"/>
    <w:rsid w:val="00181217"/>
    <w:rsid w:val="001851F3"/>
    <w:rsid w:val="00185C4B"/>
    <w:rsid w:val="001922F5"/>
    <w:rsid w:val="00192783"/>
    <w:rsid w:val="001973C5"/>
    <w:rsid w:val="001A58CA"/>
    <w:rsid w:val="001B0502"/>
    <w:rsid w:val="001B29E2"/>
    <w:rsid w:val="001C6173"/>
    <w:rsid w:val="001D1A97"/>
    <w:rsid w:val="001F6EEC"/>
    <w:rsid w:val="002109AF"/>
    <w:rsid w:val="00215DF2"/>
    <w:rsid w:val="00220F7C"/>
    <w:rsid w:val="00224DE0"/>
    <w:rsid w:val="0023210A"/>
    <w:rsid w:val="00240302"/>
    <w:rsid w:val="0024194C"/>
    <w:rsid w:val="00256195"/>
    <w:rsid w:val="00257C29"/>
    <w:rsid w:val="00265B98"/>
    <w:rsid w:val="00272890"/>
    <w:rsid w:val="00280116"/>
    <w:rsid w:val="00280FCF"/>
    <w:rsid w:val="00285CCC"/>
    <w:rsid w:val="0029244B"/>
    <w:rsid w:val="00293DE1"/>
    <w:rsid w:val="002A623E"/>
    <w:rsid w:val="002B6A16"/>
    <w:rsid w:val="002D3D9B"/>
    <w:rsid w:val="002E76B3"/>
    <w:rsid w:val="003029CB"/>
    <w:rsid w:val="003126F5"/>
    <w:rsid w:val="00315243"/>
    <w:rsid w:val="00316CBD"/>
    <w:rsid w:val="003235FE"/>
    <w:rsid w:val="0032538E"/>
    <w:rsid w:val="0032582C"/>
    <w:rsid w:val="00327A29"/>
    <w:rsid w:val="003301DE"/>
    <w:rsid w:val="00335D0B"/>
    <w:rsid w:val="0035046E"/>
    <w:rsid w:val="0035597B"/>
    <w:rsid w:val="0036542A"/>
    <w:rsid w:val="0036762C"/>
    <w:rsid w:val="00386CE7"/>
    <w:rsid w:val="003877DA"/>
    <w:rsid w:val="003A1A7A"/>
    <w:rsid w:val="003A4538"/>
    <w:rsid w:val="003A496B"/>
    <w:rsid w:val="003A783A"/>
    <w:rsid w:val="003B7ED7"/>
    <w:rsid w:val="003C2797"/>
    <w:rsid w:val="003D4355"/>
    <w:rsid w:val="003F31F5"/>
    <w:rsid w:val="00400037"/>
    <w:rsid w:val="00404D22"/>
    <w:rsid w:val="004074C8"/>
    <w:rsid w:val="004141FC"/>
    <w:rsid w:val="0041573E"/>
    <w:rsid w:val="00432AD5"/>
    <w:rsid w:val="0044317F"/>
    <w:rsid w:val="0045034B"/>
    <w:rsid w:val="00450757"/>
    <w:rsid w:val="00450836"/>
    <w:rsid w:val="00455021"/>
    <w:rsid w:val="00457D83"/>
    <w:rsid w:val="00467169"/>
    <w:rsid w:val="00467AFD"/>
    <w:rsid w:val="004753BC"/>
    <w:rsid w:val="004B1EDD"/>
    <w:rsid w:val="004B3A1F"/>
    <w:rsid w:val="004C0BE9"/>
    <w:rsid w:val="004C5C3F"/>
    <w:rsid w:val="004C6E30"/>
    <w:rsid w:val="004C707D"/>
    <w:rsid w:val="004C77F9"/>
    <w:rsid w:val="004D3A35"/>
    <w:rsid w:val="004D767F"/>
    <w:rsid w:val="004E1659"/>
    <w:rsid w:val="0050015C"/>
    <w:rsid w:val="00506B3E"/>
    <w:rsid w:val="00512675"/>
    <w:rsid w:val="00516BAF"/>
    <w:rsid w:val="00516C81"/>
    <w:rsid w:val="00517144"/>
    <w:rsid w:val="00536BFA"/>
    <w:rsid w:val="00544024"/>
    <w:rsid w:val="00544AD6"/>
    <w:rsid w:val="00546FFE"/>
    <w:rsid w:val="00551461"/>
    <w:rsid w:val="005556EC"/>
    <w:rsid w:val="00555710"/>
    <w:rsid w:val="00571CD8"/>
    <w:rsid w:val="005B027E"/>
    <w:rsid w:val="005B26F4"/>
    <w:rsid w:val="005C2146"/>
    <w:rsid w:val="005D0020"/>
    <w:rsid w:val="005D2687"/>
    <w:rsid w:val="005D43AC"/>
    <w:rsid w:val="005D6987"/>
    <w:rsid w:val="005D6F87"/>
    <w:rsid w:val="005E6922"/>
    <w:rsid w:val="005E716E"/>
    <w:rsid w:val="005F3DC3"/>
    <w:rsid w:val="00600B10"/>
    <w:rsid w:val="006053B6"/>
    <w:rsid w:val="00606097"/>
    <w:rsid w:val="0060718A"/>
    <w:rsid w:val="00611A82"/>
    <w:rsid w:val="00612DEE"/>
    <w:rsid w:val="00616478"/>
    <w:rsid w:val="00625256"/>
    <w:rsid w:val="00627961"/>
    <w:rsid w:val="006560A4"/>
    <w:rsid w:val="00662D61"/>
    <w:rsid w:val="006762A6"/>
    <w:rsid w:val="0069036C"/>
    <w:rsid w:val="00694DCF"/>
    <w:rsid w:val="006971ED"/>
    <w:rsid w:val="006A3884"/>
    <w:rsid w:val="006A5B22"/>
    <w:rsid w:val="006B1EF3"/>
    <w:rsid w:val="006B2774"/>
    <w:rsid w:val="006C3477"/>
    <w:rsid w:val="006C53A2"/>
    <w:rsid w:val="006C559A"/>
    <w:rsid w:val="006C7F2C"/>
    <w:rsid w:val="006D50EE"/>
    <w:rsid w:val="006E13F2"/>
    <w:rsid w:val="006E5968"/>
    <w:rsid w:val="006E6163"/>
    <w:rsid w:val="006E69D2"/>
    <w:rsid w:val="006F17AB"/>
    <w:rsid w:val="006F33B6"/>
    <w:rsid w:val="006F44A8"/>
    <w:rsid w:val="006F6148"/>
    <w:rsid w:val="006F6912"/>
    <w:rsid w:val="00744E2A"/>
    <w:rsid w:val="00750E55"/>
    <w:rsid w:val="00752880"/>
    <w:rsid w:val="00756F02"/>
    <w:rsid w:val="00762D32"/>
    <w:rsid w:val="00781806"/>
    <w:rsid w:val="007935E4"/>
    <w:rsid w:val="0079563D"/>
    <w:rsid w:val="007A2240"/>
    <w:rsid w:val="007A4BEE"/>
    <w:rsid w:val="007A7D37"/>
    <w:rsid w:val="007B07A7"/>
    <w:rsid w:val="007C1207"/>
    <w:rsid w:val="007C7FD7"/>
    <w:rsid w:val="007D4F37"/>
    <w:rsid w:val="007E5B24"/>
    <w:rsid w:val="007F757C"/>
    <w:rsid w:val="00807225"/>
    <w:rsid w:val="00821F30"/>
    <w:rsid w:val="0082713E"/>
    <w:rsid w:val="00832F1D"/>
    <w:rsid w:val="00847525"/>
    <w:rsid w:val="00857310"/>
    <w:rsid w:val="0086445E"/>
    <w:rsid w:val="00872A26"/>
    <w:rsid w:val="00874752"/>
    <w:rsid w:val="0088313E"/>
    <w:rsid w:val="0088628A"/>
    <w:rsid w:val="008877A4"/>
    <w:rsid w:val="00891AD5"/>
    <w:rsid w:val="00895066"/>
    <w:rsid w:val="008A60C9"/>
    <w:rsid w:val="008E50CE"/>
    <w:rsid w:val="008E6FA8"/>
    <w:rsid w:val="00907730"/>
    <w:rsid w:val="00907CD8"/>
    <w:rsid w:val="0091007A"/>
    <w:rsid w:val="00910320"/>
    <w:rsid w:val="0091130C"/>
    <w:rsid w:val="00921449"/>
    <w:rsid w:val="0094285A"/>
    <w:rsid w:val="00953819"/>
    <w:rsid w:val="00964500"/>
    <w:rsid w:val="00976F66"/>
    <w:rsid w:val="0098306E"/>
    <w:rsid w:val="00996D06"/>
    <w:rsid w:val="009A3631"/>
    <w:rsid w:val="009A76A4"/>
    <w:rsid w:val="009B1305"/>
    <w:rsid w:val="009C0607"/>
    <w:rsid w:val="009C175C"/>
    <w:rsid w:val="009C7400"/>
    <w:rsid w:val="009D1E69"/>
    <w:rsid w:val="009D60D7"/>
    <w:rsid w:val="009E27B6"/>
    <w:rsid w:val="009F5931"/>
    <w:rsid w:val="00A02D8B"/>
    <w:rsid w:val="00A058D8"/>
    <w:rsid w:val="00A0694A"/>
    <w:rsid w:val="00A12181"/>
    <w:rsid w:val="00A1560C"/>
    <w:rsid w:val="00A16D23"/>
    <w:rsid w:val="00A425F6"/>
    <w:rsid w:val="00A4412F"/>
    <w:rsid w:val="00A45BE3"/>
    <w:rsid w:val="00A568B8"/>
    <w:rsid w:val="00A56C45"/>
    <w:rsid w:val="00A570E1"/>
    <w:rsid w:val="00A64937"/>
    <w:rsid w:val="00A74DEF"/>
    <w:rsid w:val="00A91CF3"/>
    <w:rsid w:val="00A94F5E"/>
    <w:rsid w:val="00AA5FE0"/>
    <w:rsid w:val="00AB02F3"/>
    <w:rsid w:val="00AC4B5E"/>
    <w:rsid w:val="00AD35B6"/>
    <w:rsid w:val="00AE2D69"/>
    <w:rsid w:val="00AE53B4"/>
    <w:rsid w:val="00AF5FDC"/>
    <w:rsid w:val="00B03377"/>
    <w:rsid w:val="00B033F2"/>
    <w:rsid w:val="00B142B1"/>
    <w:rsid w:val="00B15C39"/>
    <w:rsid w:val="00B15CC2"/>
    <w:rsid w:val="00B20883"/>
    <w:rsid w:val="00B24D4E"/>
    <w:rsid w:val="00B24F54"/>
    <w:rsid w:val="00B31753"/>
    <w:rsid w:val="00B326F5"/>
    <w:rsid w:val="00B338F1"/>
    <w:rsid w:val="00B348B0"/>
    <w:rsid w:val="00B42930"/>
    <w:rsid w:val="00B51E60"/>
    <w:rsid w:val="00B64026"/>
    <w:rsid w:val="00B67649"/>
    <w:rsid w:val="00BA3135"/>
    <w:rsid w:val="00BB00BC"/>
    <w:rsid w:val="00BB1188"/>
    <w:rsid w:val="00BC3B4F"/>
    <w:rsid w:val="00BD033C"/>
    <w:rsid w:val="00BE18BE"/>
    <w:rsid w:val="00BE36D5"/>
    <w:rsid w:val="00C127EB"/>
    <w:rsid w:val="00C2096D"/>
    <w:rsid w:val="00C44607"/>
    <w:rsid w:val="00C46B27"/>
    <w:rsid w:val="00C76841"/>
    <w:rsid w:val="00C87027"/>
    <w:rsid w:val="00CA2A9A"/>
    <w:rsid w:val="00CC4BE1"/>
    <w:rsid w:val="00CD0BFC"/>
    <w:rsid w:val="00CD7739"/>
    <w:rsid w:val="00CE38C6"/>
    <w:rsid w:val="00CF11BD"/>
    <w:rsid w:val="00CF1DAD"/>
    <w:rsid w:val="00CF4CA6"/>
    <w:rsid w:val="00CF77B6"/>
    <w:rsid w:val="00D10C46"/>
    <w:rsid w:val="00D13D96"/>
    <w:rsid w:val="00D1526A"/>
    <w:rsid w:val="00D21DBB"/>
    <w:rsid w:val="00D223DD"/>
    <w:rsid w:val="00D25A8B"/>
    <w:rsid w:val="00D34EE1"/>
    <w:rsid w:val="00D3743B"/>
    <w:rsid w:val="00D416F4"/>
    <w:rsid w:val="00D4441F"/>
    <w:rsid w:val="00D613DE"/>
    <w:rsid w:val="00D672D4"/>
    <w:rsid w:val="00D8437A"/>
    <w:rsid w:val="00D96D41"/>
    <w:rsid w:val="00DA66E4"/>
    <w:rsid w:val="00DC4E79"/>
    <w:rsid w:val="00DE0583"/>
    <w:rsid w:val="00DE3861"/>
    <w:rsid w:val="00DF081A"/>
    <w:rsid w:val="00DF5A3A"/>
    <w:rsid w:val="00DF66BF"/>
    <w:rsid w:val="00E16EB4"/>
    <w:rsid w:val="00E2293F"/>
    <w:rsid w:val="00E23F9F"/>
    <w:rsid w:val="00E44996"/>
    <w:rsid w:val="00E51D6A"/>
    <w:rsid w:val="00E57F26"/>
    <w:rsid w:val="00E6517A"/>
    <w:rsid w:val="00E73D1C"/>
    <w:rsid w:val="00E74A86"/>
    <w:rsid w:val="00E754FF"/>
    <w:rsid w:val="00E8194F"/>
    <w:rsid w:val="00E82FB3"/>
    <w:rsid w:val="00E923A8"/>
    <w:rsid w:val="00EB51ED"/>
    <w:rsid w:val="00EB5C5B"/>
    <w:rsid w:val="00EB70E1"/>
    <w:rsid w:val="00EC09C5"/>
    <w:rsid w:val="00EC44BC"/>
    <w:rsid w:val="00EE23D1"/>
    <w:rsid w:val="00EF2B8C"/>
    <w:rsid w:val="00EF7D92"/>
    <w:rsid w:val="00F215D9"/>
    <w:rsid w:val="00F24A49"/>
    <w:rsid w:val="00F37F4E"/>
    <w:rsid w:val="00F4297B"/>
    <w:rsid w:val="00F57C50"/>
    <w:rsid w:val="00F71C49"/>
    <w:rsid w:val="00F810D7"/>
    <w:rsid w:val="00F81909"/>
    <w:rsid w:val="00F96063"/>
    <w:rsid w:val="00FB10E2"/>
    <w:rsid w:val="00FB1FA9"/>
    <w:rsid w:val="00FB21A4"/>
    <w:rsid w:val="00FD0092"/>
    <w:rsid w:val="00FE0F7E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F81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A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org301</cp:lastModifiedBy>
  <cp:revision>141</cp:revision>
  <cp:lastPrinted>2022-01-13T12:49:00Z</cp:lastPrinted>
  <dcterms:created xsi:type="dcterms:W3CDTF">2020-11-27T14:00:00Z</dcterms:created>
  <dcterms:modified xsi:type="dcterms:W3CDTF">2022-01-28T08:10:00Z</dcterms:modified>
</cp:coreProperties>
</file>