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55" w:rsidRPr="00A813A8" w:rsidRDefault="00907CD8" w:rsidP="006D50EE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D96D41"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</w:t>
      </w:r>
      <w:r w:rsidR="0098306E"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D4355" w:rsidRPr="00A813A8" w:rsidRDefault="003D4355" w:rsidP="006D50E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07CD8"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рішення міської ради</w:t>
      </w:r>
    </w:p>
    <w:p w:rsidR="003D4355" w:rsidRPr="00A813A8" w:rsidRDefault="003D4355" w:rsidP="006D3997">
      <w:pPr>
        <w:tabs>
          <w:tab w:val="left" w:pos="6480"/>
          <w:tab w:val="left" w:pos="12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3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D3997" w:rsidRPr="00A813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D3997" w:rsidRPr="00A81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27.10.2021 №855</w:t>
      </w:r>
    </w:p>
    <w:p w:rsidR="003D4355" w:rsidRPr="00A813A8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66E4" w:rsidRPr="00A813A8" w:rsidRDefault="00DA66E4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762C" w:rsidRPr="00A813A8" w:rsidRDefault="0036762C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41F" w:rsidRPr="00A813A8" w:rsidRDefault="003D4355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41F" w:rsidRPr="00A813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</w:t>
      </w:r>
    </w:p>
    <w:p w:rsidR="0015141F" w:rsidRPr="00A813A8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3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заявників, яким відмовляється в затвердженні детальних планів територій</w:t>
      </w:r>
    </w:p>
    <w:p w:rsidR="0015141F" w:rsidRPr="00A813A8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3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наданні дозволів на розробку проектів землеустрою щодо відведення земельних ділянок</w:t>
      </w:r>
    </w:p>
    <w:p w:rsidR="004E1659" w:rsidRPr="00A813A8" w:rsidRDefault="004E1659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8"/>
          <w:szCs w:val="8"/>
          <w:lang w:eastAsia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2268"/>
        <w:gridCol w:w="7938"/>
      </w:tblGrid>
      <w:tr w:rsidR="00DC4E79" w:rsidRPr="00A813A8" w:rsidTr="00E8194F">
        <w:tc>
          <w:tcPr>
            <w:tcW w:w="675" w:type="dxa"/>
          </w:tcPr>
          <w:p w:rsidR="00DC4E79" w:rsidRPr="00A813A8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№</w:t>
            </w:r>
          </w:p>
          <w:p w:rsidR="00744E2A" w:rsidRPr="00A813A8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п/</w:t>
            </w:r>
            <w:proofErr w:type="spellStart"/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DC4E79" w:rsidRPr="00A813A8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Заявник</w:t>
            </w:r>
          </w:p>
        </w:tc>
        <w:tc>
          <w:tcPr>
            <w:tcW w:w="2551" w:type="dxa"/>
            <w:vAlign w:val="center"/>
          </w:tcPr>
          <w:p w:rsidR="00DC4E79" w:rsidRPr="00A813A8" w:rsidRDefault="00DC4E79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Назва об’єкта </w:t>
            </w:r>
          </w:p>
        </w:tc>
        <w:tc>
          <w:tcPr>
            <w:tcW w:w="2268" w:type="dxa"/>
            <w:vAlign w:val="center"/>
          </w:tcPr>
          <w:p w:rsidR="00DC4E79" w:rsidRPr="00A813A8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Адреса</w:t>
            </w:r>
          </w:p>
          <w:p w:rsidR="00DC4E79" w:rsidRPr="00A813A8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об’єкта</w:t>
            </w:r>
          </w:p>
        </w:tc>
        <w:tc>
          <w:tcPr>
            <w:tcW w:w="7938" w:type="dxa"/>
            <w:vAlign w:val="center"/>
          </w:tcPr>
          <w:p w:rsidR="00DC4E79" w:rsidRPr="00A813A8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Причина відмови</w:t>
            </w:r>
          </w:p>
        </w:tc>
      </w:tr>
      <w:tr w:rsidR="004753BC" w:rsidRPr="00A813A8" w:rsidTr="00E8194F">
        <w:tc>
          <w:tcPr>
            <w:tcW w:w="675" w:type="dxa"/>
          </w:tcPr>
          <w:p w:rsidR="004753BC" w:rsidRPr="00A813A8" w:rsidRDefault="004753BC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2127" w:type="dxa"/>
            <w:vAlign w:val="center"/>
          </w:tcPr>
          <w:p w:rsidR="004753BC" w:rsidRPr="00A813A8" w:rsidRDefault="004753B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551" w:type="dxa"/>
            <w:vAlign w:val="center"/>
          </w:tcPr>
          <w:p w:rsidR="004753BC" w:rsidRPr="00A813A8" w:rsidRDefault="004753BC" w:rsidP="00F37F4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268" w:type="dxa"/>
            <w:vAlign w:val="center"/>
          </w:tcPr>
          <w:p w:rsidR="004753BC" w:rsidRPr="00A813A8" w:rsidRDefault="004753B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4753BC" w:rsidRPr="00A813A8" w:rsidRDefault="004753B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E8194F" w:rsidRPr="00A813A8" w:rsidTr="00E8194F">
        <w:trPr>
          <w:trHeight w:val="287"/>
        </w:trPr>
        <w:tc>
          <w:tcPr>
            <w:tcW w:w="675" w:type="dxa"/>
          </w:tcPr>
          <w:p w:rsidR="00E8194F" w:rsidRPr="00A813A8" w:rsidRDefault="00E8194F" w:rsidP="0098306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27" w:type="dxa"/>
          </w:tcPr>
          <w:p w:rsidR="00E8194F" w:rsidRPr="00A813A8" w:rsidRDefault="00E8194F" w:rsidP="00891AD5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меженою відп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відальністю </w:t>
            </w:r>
          </w:p>
          <w:p w:rsidR="00E8194F" w:rsidRPr="00A813A8" w:rsidRDefault="00E8194F" w:rsidP="00891AD5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«АКСІОМА-СХІДНИЙ»</w:t>
            </w:r>
          </w:p>
        </w:tc>
        <w:tc>
          <w:tcPr>
            <w:tcW w:w="2551" w:type="dxa"/>
          </w:tcPr>
          <w:p w:rsidR="00E8194F" w:rsidRPr="00A813A8" w:rsidRDefault="00E8194F" w:rsidP="00891AD5">
            <w:pPr>
              <w:spacing w:line="22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Будівництво ко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плексу будівель з обслуговування та ремонту транспор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них засобів (СТО з мийкою, магазину автозапчастин, г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ражних боксів) на базі незавершеного будівництва нежи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лової будівлі мийки легкових автомоб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лів, готовність якої становить 53%</w:t>
            </w:r>
          </w:p>
        </w:tc>
        <w:tc>
          <w:tcPr>
            <w:tcW w:w="2268" w:type="dxa"/>
          </w:tcPr>
          <w:p w:rsidR="00E8194F" w:rsidRPr="00A813A8" w:rsidRDefault="00E8194F" w:rsidP="005B027E">
            <w:pPr>
              <w:tabs>
                <w:tab w:val="left" w:pos="6480"/>
              </w:tabs>
              <w:spacing w:line="228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Симонова 1Б у </w:t>
            </w:r>
            <w:proofErr w:type="spellStart"/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Довгинцівськ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proofErr w:type="spellEnd"/>
            <w:r w:rsidRPr="00A81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7938" w:type="dxa"/>
            <w:vAlign w:val="center"/>
          </w:tcPr>
          <w:p w:rsidR="00E8194F" w:rsidRPr="00A813A8" w:rsidRDefault="00E8194F" w:rsidP="00E8194F">
            <w:pPr>
              <w:pStyle w:val="a4"/>
              <w:numPr>
                <w:ilvl w:val="0"/>
                <w:numId w:val="1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та надання неповного пакета документів є підставою для відмови в наданні адміністративної послуги, що передбачено           ст. 5 Закону України «Про адміністративні послуги» і п.13 інформ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ційної картки адміністративної послуги №15 (04-03) «Видача        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 «Про реформування адміністративних, інших публічних послуг у органах  місцевого самоврядування м. Кривого Рогу», зі змінами.</w:t>
            </w:r>
          </w:p>
          <w:p w:rsidR="00E8194F" w:rsidRPr="00A813A8" w:rsidRDefault="00E8194F" w:rsidP="00E8194F">
            <w:pPr>
              <w:pStyle w:val="a4"/>
              <w:numPr>
                <w:ilvl w:val="0"/>
                <w:numId w:val="1"/>
              </w:numPr>
              <w:tabs>
                <w:tab w:val="left" w:pos="-26"/>
                <w:tab w:val="left" w:pos="0"/>
                <w:tab w:val="left" w:pos="33"/>
                <w:tab w:val="left" w:pos="115"/>
              </w:tabs>
              <w:ind w:left="0" w:firstLine="31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п.17 завдання на розроблення детального плану території, як-от: додатково до складу детального плану тер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торії не додано виписку з протоколу архітектурно-містобудівної р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при департаменті регулювання містобудівної діяльності та зем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льних відносин виконкому Криворізької міської ради. </w:t>
            </w:r>
          </w:p>
          <w:p w:rsidR="00512675" w:rsidRPr="00A813A8" w:rsidRDefault="00E8194F" w:rsidP="00907CD8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Відповідно до ст. 21 Закону України «Про регулювання міст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будівної діяльності» детальний план території як проект містобуді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документації підлягає громадському обговоренню. Під час гр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мадських слухань </w:t>
            </w:r>
            <w:r w:rsidR="00907CD8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відносно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детального плану території було висло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лено заперечення громадськості, що підтверджено протоколом гр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мадських  слухань щодо врахування громадських інтересів під час розроблення проектів містобудівної документації на місцевому рівні          від 13.05.2021 та листом громадянина Заїки Віталія Сергійовича             від 13.05.2021</w:t>
            </w:r>
          </w:p>
        </w:tc>
      </w:tr>
      <w:tr w:rsidR="00512675" w:rsidRPr="00A813A8" w:rsidTr="00512675">
        <w:trPr>
          <w:trHeight w:val="287"/>
        </w:trPr>
        <w:tc>
          <w:tcPr>
            <w:tcW w:w="675" w:type="dxa"/>
          </w:tcPr>
          <w:p w:rsidR="00512675" w:rsidRPr="00A813A8" w:rsidRDefault="00512675" w:rsidP="00512675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512675" w:rsidRPr="00A813A8" w:rsidRDefault="00512675" w:rsidP="00512675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551" w:type="dxa"/>
            <w:vAlign w:val="center"/>
          </w:tcPr>
          <w:p w:rsidR="00512675" w:rsidRPr="00A813A8" w:rsidRDefault="00512675" w:rsidP="005126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268" w:type="dxa"/>
            <w:vAlign w:val="center"/>
          </w:tcPr>
          <w:p w:rsidR="00512675" w:rsidRPr="00A813A8" w:rsidRDefault="00512675" w:rsidP="00512675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512675" w:rsidRPr="00A813A8" w:rsidRDefault="00512675" w:rsidP="00512675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512675" w:rsidRPr="00A813A8" w:rsidTr="00E8194F">
        <w:trPr>
          <w:trHeight w:val="287"/>
        </w:trPr>
        <w:tc>
          <w:tcPr>
            <w:tcW w:w="675" w:type="dxa"/>
          </w:tcPr>
          <w:p w:rsidR="00512675" w:rsidRPr="00A813A8" w:rsidRDefault="00512675" w:rsidP="0098306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512675" w:rsidRPr="00A813A8" w:rsidRDefault="00512675" w:rsidP="00E8194F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512675" w:rsidRPr="00A813A8" w:rsidRDefault="00512675" w:rsidP="005B027E">
            <w:pPr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12675" w:rsidRPr="00A813A8" w:rsidRDefault="00512675" w:rsidP="005B027E">
            <w:pPr>
              <w:tabs>
                <w:tab w:val="left" w:pos="6480"/>
              </w:tabs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512675" w:rsidRPr="00A813A8" w:rsidRDefault="00907CD8" w:rsidP="00907CD8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 Виявлення не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достовірних відомостей, а саме: не зазначено ф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нкціональне призначення земельної ділянки відповідно до </w:t>
            </w:r>
            <w:proofErr w:type="spellStart"/>
            <w:r w:rsidR="00512675" w:rsidRPr="00A813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ак</w:t>
            </w:r>
            <w:r w:rsidR="0013121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r w:rsidR="00512675" w:rsidRPr="00A813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туалізованого</w:t>
            </w:r>
            <w:proofErr w:type="spellEnd"/>
            <w:r w:rsidR="00512675" w:rsidRPr="00A813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плану зонування м. Кривого Рогу, затвердженого </w:t>
            </w:r>
            <w:r w:rsidR="0013121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512675" w:rsidRPr="00A813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="00512675" w:rsidRPr="00A813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512675" w:rsidRPr="00A813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шенням міської ради </w:t>
            </w:r>
            <w:r w:rsidRPr="00A813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30.06.2021 №591</w:t>
            </w:r>
          </w:p>
        </w:tc>
      </w:tr>
      <w:tr w:rsidR="00E8194F" w:rsidRPr="00A813A8" w:rsidTr="00E8194F">
        <w:trPr>
          <w:trHeight w:val="287"/>
        </w:trPr>
        <w:tc>
          <w:tcPr>
            <w:tcW w:w="675" w:type="dxa"/>
          </w:tcPr>
          <w:p w:rsidR="00E8194F" w:rsidRPr="00A813A8" w:rsidRDefault="00E8194F" w:rsidP="0098306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27" w:type="dxa"/>
          </w:tcPr>
          <w:p w:rsidR="00E8194F" w:rsidRPr="00A813A8" w:rsidRDefault="00E8194F" w:rsidP="00891AD5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Товариство з о</w:t>
            </w: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меженою відп</w:t>
            </w: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 xml:space="preserve">відальністю </w:t>
            </w:r>
          </w:p>
          <w:p w:rsidR="00E8194F" w:rsidRPr="00A813A8" w:rsidRDefault="00E8194F" w:rsidP="00891AD5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«МК-МОНТАЖ»</w:t>
            </w:r>
          </w:p>
        </w:tc>
        <w:tc>
          <w:tcPr>
            <w:tcW w:w="2551" w:type="dxa"/>
          </w:tcPr>
          <w:p w:rsidR="00E8194F" w:rsidRPr="00A813A8" w:rsidRDefault="00E8194F" w:rsidP="00891AD5">
            <w:pPr>
              <w:spacing w:line="22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Реконструкція вир</w:t>
            </w: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бничого комплексу будівель та споруд з виготовлення мет</w:t>
            </w: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A813A8">
              <w:rPr>
                <w:rFonts w:ascii="Times New Roman" w:hAnsi="Times New Roman" w:cs="Times New Roman"/>
                <w:sz w:val="25"/>
                <w:szCs w:val="25"/>
              </w:rPr>
              <w:t>левих конструкцій</w:t>
            </w:r>
          </w:p>
        </w:tc>
        <w:tc>
          <w:tcPr>
            <w:tcW w:w="2268" w:type="dxa"/>
          </w:tcPr>
          <w:p w:rsidR="00E8194F" w:rsidRPr="00A813A8" w:rsidRDefault="00E8194F" w:rsidP="00891AD5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 w:rsidRPr="00A813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Домобудів</w:t>
            </w:r>
            <w:r w:rsidR="00907CD8" w:rsidRPr="00A813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End"/>
            <w:r w:rsidR="00907CD8" w:rsidRPr="00A813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A813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на, 19а у Металу</w:t>
            </w:r>
            <w:r w:rsidRPr="00A813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</w:t>
            </w:r>
            <w:r w:rsidRPr="00A813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гійному районі</w:t>
            </w:r>
          </w:p>
        </w:tc>
        <w:tc>
          <w:tcPr>
            <w:tcW w:w="7938" w:type="dxa"/>
          </w:tcPr>
          <w:p w:rsidR="003235FE" w:rsidRPr="00A813A8" w:rsidRDefault="00E8194F" w:rsidP="003235FE">
            <w:pPr>
              <w:pStyle w:val="a4"/>
              <w:numPr>
                <w:ilvl w:val="0"/>
                <w:numId w:val="5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та надання неповного пакета документів є підставою для відмови в наданні адміністративної послуги, що передбачено           ст. 5 Закону України «Про адміністративні послуги» і п.13 інформ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ційної картки адміністративної послуги №15 (04-01) «Видача        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 «Про реформування адміністративних, інших публічних послуг у органах  місцевого самоврядування м. Кривого Рогу», зі змінами.</w:t>
            </w:r>
          </w:p>
          <w:p w:rsidR="00AE2D69" w:rsidRPr="00A813A8" w:rsidRDefault="00953819" w:rsidP="00AE2D69">
            <w:pPr>
              <w:pStyle w:val="a4"/>
              <w:numPr>
                <w:ilvl w:val="0"/>
                <w:numId w:val="5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9"/>
                <w:tab w:val="left" w:pos="601"/>
              </w:tabs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пп.</w:t>
            </w:r>
            <w:r w:rsidR="003235FE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12, 19, </w:t>
            </w:r>
            <w:r w:rsidR="003235FE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 завдання на розроблення д</w:t>
            </w:r>
            <w:r w:rsidR="003235FE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3235FE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тального плану території, а саме: 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детальний план території розро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лений на картографічній </w:t>
            </w:r>
            <w:r w:rsidR="00907CD8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основі, якій більше одного року.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07CD8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 надано графічні матеріали у форматі *</w:t>
            </w:r>
            <w:proofErr w:type="spellStart"/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.dwg</w:t>
            </w:r>
            <w:proofErr w:type="spellEnd"/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або *</w:t>
            </w:r>
            <w:proofErr w:type="spellStart"/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.dmf</w:t>
            </w:r>
            <w:proofErr w:type="spellEnd"/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векторною структ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рою та прив’язкою до системи координат УСК-2000, </w:t>
            </w:r>
            <w:r w:rsidR="003235FE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електронній версії топографо-геодезичну зйомку, що використовувалася при р</w:t>
            </w:r>
            <w:r w:rsidR="003235FE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3235FE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зробці детального плану території, для внесення її до бази даних м</w:t>
            </w:r>
            <w:r w:rsidR="003235FE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3235FE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стобудівного кадастру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953819" w:rsidRPr="00A813A8" w:rsidRDefault="00953819" w:rsidP="00AE2D69">
            <w:pPr>
              <w:pStyle w:val="a4"/>
              <w:numPr>
                <w:ilvl w:val="0"/>
                <w:numId w:val="5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9"/>
                <w:tab w:val="left" w:pos="601"/>
              </w:tabs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наданих матеріалів вимогам п.2.3.8               ДБН А.2.1-1-2008 «Вишукування, проектування і територіальна ді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льність. Інженерні вишукування для будівництва</w:t>
            </w:r>
            <w:r w:rsidRPr="00A813A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саме: відсутні погодження топографо-геодезичної зйомки організаціями, що ек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плуатують мережі</w:t>
            </w:r>
            <w:r w:rsidR="00AE2D69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водопостачання та водовідведення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512675" w:rsidRPr="00A813A8" w:rsidRDefault="00907CD8" w:rsidP="00907CD8">
            <w:pPr>
              <w:pStyle w:val="a4"/>
              <w:numPr>
                <w:ilvl w:val="0"/>
                <w:numId w:val="5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9"/>
                <w:tab w:val="left" w:pos="601"/>
              </w:tabs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Виявлення не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достовірних відомостей, а саме: не зазначено ф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нкціональне призначення земельної ділянки відповідно до </w:t>
            </w:r>
            <w:r w:rsidR="00512675" w:rsidRPr="00A813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актуал</w:t>
            </w:r>
            <w:r w:rsidR="00512675" w:rsidRPr="00A813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512675" w:rsidRPr="00A813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зованого плану зонування м. Кривого Рогу, затвердженого рішенням міської ради </w:t>
            </w:r>
            <w:r w:rsidRPr="00A813A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4C0BE9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30.06.2021 №591 та не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правильно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зазначено розт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шування земельної ділянки згідно із </w:t>
            </w:r>
            <w:proofErr w:type="spellStart"/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науково-проєктною</w:t>
            </w:r>
            <w:proofErr w:type="spellEnd"/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цією 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Історико-архітектурний</w:t>
            </w:r>
            <w:proofErr w:type="spellEnd"/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опорний 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план 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міста 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Кривий 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12675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Ріг» </w:t>
            </w: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bookmarkStart w:id="0" w:name="_GoBack"/>
            <w:bookmarkEnd w:id="0"/>
          </w:p>
        </w:tc>
      </w:tr>
      <w:tr w:rsidR="00CF11BD" w:rsidRPr="00A813A8" w:rsidTr="00A02D8B">
        <w:trPr>
          <w:trHeight w:val="287"/>
        </w:trPr>
        <w:tc>
          <w:tcPr>
            <w:tcW w:w="675" w:type="dxa"/>
          </w:tcPr>
          <w:p w:rsidR="00CF11BD" w:rsidRPr="00A813A8" w:rsidRDefault="00CF11BD" w:rsidP="00A02D8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CF11BD" w:rsidRPr="00A813A8" w:rsidRDefault="00CF11BD" w:rsidP="00A02D8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551" w:type="dxa"/>
            <w:vAlign w:val="center"/>
          </w:tcPr>
          <w:p w:rsidR="00CF11BD" w:rsidRPr="00A813A8" w:rsidRDefault="00CF11BD" w:rsidP="00A02D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813A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268" w:type="dxa"/>
            <w:vAlign w:val="center"/>
          </w:tcPr>
          <w:p w:rsidR="00CF11BD" w:rsidRPr="00A813A8" w:rsidRDefault="00CF11BD" w:rsidP="00A02D8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CF11BD" w:rsidRPr="00A813A8" w:rsidRDefault="00CF11BD" w:rsidP="00A02D8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813A8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F96063" w:rsidRPr="00A813A8" w:rsidTr="00E8194F">
        <w:trPr>
          <w:trHeight w:val="287"/>
        </w:trPr>
        <w:tc>
          <w:tcPr>
            <w:tcW w:w="675" w:type="dxa"/>
          </w:tcPr>
          <w:p w:rsidR="00F96063" w:rsidRPr="00A813A8" w:rsidRDefault="00F96063" w:rsidP="0098306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F96063" w:rsidRPr="00A813A8" w:rsidRDefault="00F96063" w:rsidP="005B027E">
            <w:pPr>
              <w:tabs>
                <w:tab w:val="left" w:pos="6480"/>
              </w:tabs>
              <w:spacing w:line="228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</w:tcPr>
          <w:p w:rsidR="00F96063" w:rsidRPr="00A813A8" w:rsidRDefault="00F96063" w:rsidP="005B027E">
            <w:pPr>
              <w:spacing w:line="228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F96063" w:rsidRPr="00A813A8" w:rsidRDefault="00F96063" w:rsidP="005B027E">
            <w:pPr>
              <w:tabs>
                <w:tab w:val="left" w:pos="6480"/>
              </w:tabs>
              <w:spacing w:line="228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938" w:type="dxa"/>
          </w:tcPr>
          <w:p w:rsidR="00F96063" w:rsidRPr="00A813A8" w:rsidRDefault="00907CD8" w:rsidP="00907CD8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454"/>
                <w:tab w:val="left" w:pos="600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складі </w:t>
            </w:r>
            <w:r w:rsidR="00F96063" w:rsidRPr="00A813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Генерального плану м. Кривого Рогу, затвердженого </w:t>
            </w:r>
            <w:r w:rsidR="00F96063" w:rsidRPr="00A813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ріше</w:t>
            </w:r>
            <w:r w:rsidR="00F96063" w:rsidRPr="00A813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F96063" w:rsidRPr="00A813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ням міської ради від 21.12.2011р. №789</w:t>
            </w:r>
          </w:p>
        </w:tc>
      </w:tr>
    </w:tbl>
    <w:p w:rsidR="00090721" w:rsidRPr="00A813A8" w:rsidRDefault="00090721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C5C3F" w:rsidRPr="00A813A8" w:rsidRDefault="004C5C3F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C5C3F" w:rsidRPr="00A813A8" w:rsidRDefault="004C5C3F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D21DBB" w:rsidRPr="00A813A8" w:rsidRDefault="00D21DBB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44607" w:rsidRPr="00A813A8" w:rsidRDefault="00C44607" w:rsidP="007F757C">
      <w:pPr>
        <w:tabs>
          <w:tab w:val="left" w:pos="6804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3A8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A813A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7CD8" w:rsidRPr="00A813A8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A813A8"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C44607" w:rsidRPr="00A813A8" w:rsidSect="0098306E">
      <w:headerReference w:type="default" r:id="rId8"/>
      <w:pgSz w:w="16838" w:h="11906" w:orient="landscape"/>
      <w:pgMar w:top="426" w:right="850" w:bottom="709" w:left="850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E2" w:rsidRPr="00B31753" w:rsidRDefault="00E16CE2" w:rsidP="00B31753">
      <w:pPr>
        <w:pStyle w:val="a4"/>
        <w:rPr>
          <w:lang w:val="uk-UA" w:eastAsia="uk-UA"/>
        </w:rPr>
      </w:pPr>
      <w:r>
        <w:separator/>
      </w:r>
    </w:p>
  </w:endnote>
  <w:endnote w:type="continuationSeparator" w:id="0">
    <w:p w:rsidR="00E16CE2" w:rsidRPr="00B31753" w:rsidRDefault="00E16CE2" w:rsidP="00B31753">
      <w:pPr>
        <w:pStyle w:val="a4"/>
        <w:rPr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E2" w:rsidRPr="00B31753" w:rsidRDefault="00E16CE2" w:rsidP="00B31753">
      <w:pPr>
        <w:pStyle w:val="a4"/>
        <w:rPr>
          <w:lang w:val="uk-UA" w:eastAsia="uk-UA"/>
        </w:rPr>
      </w:pPr>
      <w:r>
        <w:separator/>
      </w:r>
    </w:p>
  </w:footnote>
  <w:footnote w:type="continuationSeparator" w:id="0">
    <w:p w:rsidR="00E16CE2" w:rsidRPr="00B31753" w:rsidRDefault="00E16CE2" w:rsidP="00B31753">
      <w:pPr>
        <w:pStyle w:val="a4"/>
        <w:rPr>
          <w:lang w:val="uk-UA"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2D8B" w:rsidRDefault="00611A82">
        <w:pPr>
          <w:pStyle w:val="a6"/>
          <w:jc w:val="center"/>
        </w:pPr>
        <w:r w:rsidRPr="00124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02D8B" w:rsidRPr="00124D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121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2D8B" w:rsidRPr="00124D42" w:rsidRDefault="00907CD8" w:rsidP="00124D42">
    <w:pPr>
      <w:pStyle w:val="a6"/>
      <w:ind w:firstLine="1247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DD"/>
    <w:multiLevelType w:val="multilevel"/>
    <w:tmpl w:val="E18ECA3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03" w:hanging="1800"/>
      </w:pPr>
      <w:rPr>
        <w:rFonts w:hint="default"/>
        <w:color w:val="auto"/>
      </w:rPr>
    </w:lvl>
  </w:abstractNum>
  <w:abstractNum w:abstractNumId="1">
    <w:nsid w:val="113561B9"/>
    <w:multiLevelType w:val="multilevel"/>
    <w:tmpl w:val="E18ECA3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00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9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6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7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37" w:hanging="1800"/>
      </w:pPr>
      <w:rPr>
        <w:rFonts w:hint="default"/>
        <w:color w:val="auto"/>
      </w:rPr>
    </w:lvl>
  </w:abstractNum>
  <w:abstractNum w:abstractNumId="2">
    <w:nsid w:val="1EEC7582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80FCE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1902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E447B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26242"/>
    <w:multiLevelType w:val="multilevel"/>
    <w:tmpl w:val="E18ECA3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03" w:hanging="1800"/>
      </w:pPr>
      <w:rPr>
        <w:rFonts w:hint="default"/>
        <w:color w:val="auto"/>
      </w:rPr>
    </w:lvl>
  </w:abstractNum>
  <w:abstractNum w:abstractNumId="7">
    <w:nsid w:val="5A523C25"/>
    <w:multiLevelType w:val="hybridMultilevel"/>
    <w:tmpl w:val="11B4644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59A0478"/>
    <w:multiLevelType w:val="hybridMultilevel"/>
    <w:tmpl w:val="11B4644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70D735C7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355"/>
    <w:rsid w:val="000230B3"/>
    <w:rsid w:val="00050354"/>
    <w:rsid w:val="00067CE9"/>
    <w:rsid w:val="00080091"/>
    <w:rsid w:val="000822AD"/>
    <w:rsid w:val="00087B4F"/>
    <w:rsid w:val="00090721"/>
    <w:rsid w:val="000938DE"/>
    <w:rsid w:val="000A07A0"/>
    <w:rsid w:val="000A263A"/>
    <w:rsid w:val="000A79A2"/>
    <w:rsid w:val="000B5208"/>
    <w:rsid w:val="000C1736"/>
    <w:rsid w:val="000C5FF8"/>
    <w:rsid w:val="000D2078"/>
    <w:rsid w:val="000D608A"/>
    <w:rsid w:val="0010081F"/>
    <w:rsid w:val="00111381"/>
    <w:rsid w:val="0011500B"/>
    <w:rsid w:val="001155EB"/>
    <w:rsid w:val="00124D42"/>
    <w:rsid w:val="00131212"/>
    <w:rsid w:val="001335D1"/>
    <w:rsid w:val="0015141F"/>
    <w:rsid w:val="001537CF"/>
    <w:rsid w:val="00181217"/>
    <w:rsid w:val="001851F3"/>
    <w:rsid w:val="00185C4B"/>
    <w:rsid w:val="001922F5"/>
    <w:rsid w:val="00192783"/>
    <w:rsid w:val="001973C5"/>
    <w:rsid w:val="001B0502"/>
    <w:rsid w:val="001C6173"/>
    <w:rsid w:val="001D1A97"/>
    <w:rsid w:val="001F6EEC"/>
    <w:rsid w:val="002109AF"/>
    <w:rsid w:val="00215DF2"/>
    <w:rsid w:val="00220F7C"/>
    <w:rsid w:val="00224DE0"/>
    <w:rsid w:val="0023210A"/>
    <w:rsid w:val="00240302"/>
    <w:rsid w:val="0024194C"/>
    <w:rsid w:val="00256195"/>
    <w:rsid w:val="00257C29"/>
    <w:rsid w:val="00265B98"/>
    <w:rsid w:val="00272890"/>
    <w:rsid w:val="00280116"/>
    <w:rsid w:val="00280FCF"/>
    <w:rsid w:val="00285CCC"/>
    <w:rsid w:val="0029244B"/>
    <w:rsid w:val="00293DE1"/>
    <w:rsid w:val="002A623E"/>
    <w:rsid w:val="002B6A16"/>
    <w:rsid w:val="002D3D9B"/>
    <w:rsid w:val="002E76B3"/>
    <w:rsid w:val="003029CB"/>
    <w:rsid w:val="00315243"/>
    <w:rsid w:val="00316CBD"/>
    <w:rsid w:val="003235FE"/>
    <w:rsid w:val="0032538E"/>
    <w:rsid w:val="003301DE"/>
    <w:rsid w:val="00335D0B"/>
    <w:rsid w:val="0035046E"/>
    <w:rsid w:val="0035597B"/>
    <w:rsid w:val="0036542A"/>
    <w:rsid w:val="0036762C"/>
    <w:rsid w:val="00386CE7"/>
    <w:rsid w:val="003877DA"/>
    <w:rsid w:val="003A4538"/>
    <w:rsid w:val="003A496B"/>
    <w:rsid w:val="003A783A"/>
    <w:rsid w:val="003B7ED7"/>
    <w:rsid w:val="003D4355"/>
    <w:rsid w:val="003F31F5"/>
    <w:rsid w:val="00400037"/>
    <w:rsid w:val="00404D22"/>
    <w:rsid w:val="004074C8"/>
    <w:rsid w:val="004141FC"/>
    <w:rsid w:val="00432AD5"/>
    <w:rsid w:val="0045034B"/>
    <w:rsid w:val="00450757"/>
    <w:rsid w:val="00450836"/>
    <w:rsid w:val="00455021"/>
    <w:rsid w:val="00457D83"/>
    <w:rsid w:val="00467169"/>
    <w:rsid w:val="00467AFD"/>
    <w:rsid w:val="004753BC"/>
    <w:rsid w:val="004B1EDD"/>
    <w:rsid w:val="004B3A1F"/>
    <w:rsid w:val="004C0BE9"/>
    <w:rsid w:val="004C5C3F"/>
    <w:rsid w:val="004C77F9"/>
    <w:rsid w:val="004D3A35"/>
    <w:rsid w:val="004D767F"/>
    <w:rsid w:val="004E1659"/>
    <w:rsid w:val="0050015C"/>
    <w:rsid w:val="00512675"/>
    <w:rsid w:val="00516C81"/>
    <w:rsid w:val="00517144"/>
    <w:rsid w:val="00536BFA"/>
    <w:rsid w:val="00544024"/>
    <w:rsid w:val="00544AD6"/>
    <w:rsid w:val="00546FFE"/>
    <w:rsid w:val="00551461"/>
    <w:rsid w:val="00571CD8"/>
    <w:rsid w:val="005B027E"/>
    <w:rsid w:val="005B26F4"/>
    <w:rsid w:val="005C2146"/>
    <w:rsid w:val="005D0020"/>
    <w:rsid w:val="005D43AC"/>
    <w:rsid w:val="005D6987"/>
    <w:rsid w:val="005D6F87"/>
    <w:rsid w:val="005E6922"/>
    <w:rsid w:val="005E716E"/>
    <w:rsid w:val="005F3DC3"/>
    <w:rsid w:val="00600B10"/>
    <w:rsid w:val="006053B6"/>
    <w:rsid w:val="00606097"/>
    <w:rsid w:val="0060718A"/>
    <w:rsid w:val="00611A82"/>
    <w:rsid w:val="00612DEE"/>
    <w:rsid w:val="00625256"/>
    <w:rsid w:val="00662D61"/>
    <w:rsid w:val="00663C97"/>
    <w:rsid w:val="006762A6"/>
    <w:rsid w:val="0069036C"/>
    <w:rsid w:val="00694DCF"/>
    <w:rsid w:val="006971ED"/>
    <w:rsid w:val="006A3884"/>
    <w:rsid w:val="006A5B22"/>
    <w:rsid w:val="006B1EF3"/>
    <w:rsid w:val="006C3477"/>
    <w:rsid w:val="006C559A"/>
    <w:rsid w:val="006C7F2C"/>
    <w:rsid w:val="006D3997"/>
    <w:rsid w:val="006D50EE"/>
    <w:rsid w:val="006E5968"/>
    <w:rsid w:val="006E6163"/>
    <w:rsid w:val="006F17AB"/>
    <w:rsid w:val="006F33B6"/>
    <w:rsid w:val="006F44A8"/>
    <w:rsid w:val="006F6148"/>
    <w:rsid w:val="00744E2A"/>
    <w:rsid w:val="00750E55"/>
    <w:rsid w:val="00762D32"/>
    <w:rsid w:val="00781806"/>
    <w:rsid w:val="0079563D"/>
    <w:rsid w:val="007A2240"/>
    <w:rsid w:val="007A7D37"/>
    <w:rsid w:val="007B07A7"/>
    <w:rsid w:val="007C1207"/>
    <w:rsid w:val="007C7FD7"/>
    <w:rsid w:val="007D4F37"/>
    <w:rsid w:val="007E5B24"/>
    <w:rsid w:val="007F757C"/>
    <w:rsid w:val="00807225"/>
    <w:rsid w:val="00821F30"/>
    <w:rsid w:val="0082713E"/>
    <w:rsid w:val="00832F1D"/>
    <w:rsid w:val="00847525"/>
    <w:rsid w:val="00857310"/>
    <w:rsid w:val="0086445E"/>
    <w:rsid w:val="00872A26"/>
    <w:rsid w:val="00874752"/>
    <w:rsid w:val="0088313E"/>
    <w:rsid w:val="0088628A"/>
    <w:rsid w:val="008877A4"/>
    <w:rsid w:val="00891AD5"/>
    <w:rsid w:val="00895066"/>
    <w:rsid w:val="008A60C9"/>
    <w:rsid w:val="008E6FA8"/>
    <w:rsid w:val="00907730"/>
    <w:rsid w:val="00907CD8"/>
    <w:rsid w:val="00910320"/>
    <w:rsid w:val="0091130C"/>
    <w:rsid w:val="00921449"/>
    <w:rsid w:val="0094285A"/>
    <w:rsid w:val="00953819"/>
    <w:rsid w:val="00976F66"/>
    <w:rsid w:val="0098306E"/>
    <w:rsid w:val="00996D06"/>
    <w:rsid w:val="009A76A4"/>
    <w:rsid w:val="009C0607"/>
    <w:rsid w:val="009C175C"/>
    <w:rsid w:val="009C7400"/>
    <w:rsid w:val="009D1E69"/>
    <w:rsid w:val="009E27B6"/>
    <w:rsid w:val="009F5931"/>
    <w:rsid w:val="00A02D8B"/>
    <w:rsid w:val="00A0694A"/>
    <w:rsid w:val="00A1560C"/>
    <w:rsid w:val="00A4412F"/>
    <w:rsid w:val="00A45BE3"/>
    <w:rsid w:val="00A568B8"/>
    <w:rsid w:val="00A56C45"/>
    <w:rsid w:val="00A570E1"/>
    <w:rsid w:val="00A64937"/>
    <w:rsid w:val="00A74DEF"/>
    <w:rsid w:val="00A813A8"/>
    <w:rsid w:val="00AA5FE0"/>
    <w:rsid w:val="00AB02F3"/>
    <w:rsid w:val="00AC4B5E"/>
    <w:rsid w:val="00AD35B6"/>
    <w:rsid w:val="00AE2D69"/>
    <w:rsid w:val="00AE53B4"/>
    <w:rsid w:val="00AF5FDC"/>
    <w:rsid w:val="00B03377"/>
    <w:rsid w:val="00B033F2"/>
    <w:rsid w:val="00B142B1"/>
    <w:rsid w:val="00B15C39"/>
    <w:rsid w:val="00B24D4E"/>
    <w:rsid w:val="00B24F54"/>
    <w:rsid w:val="00B31753"/>
    <w:rsid w:val="00B326F5"/>
    <w:rsid w:val="00B338F1"/>
    <w:rsid w:val="00B348B0"/>
    <w:rsid w:val="00B42930"/>
    <w:rsid w:val="00B51E60"/>
    <w:rsid w:val="00B64026"/>
    <w:rsid w:val="00B67649"/>
    <w:rsid w:val="00BA3135"/>
    <w:rsid w:val="00BB1188"/>
    <w:rsid w:val="00BC3B4F"/>
    <w:rsid w:val="00BE18BE"/>
    <w:rsid w:val="00BE36D5"/>
    <w:rsid w:val="00C127EB"/>
    <w:rsid w:val="00C2096D"/>
    <w:rsid w:val="00C44607"/>
    <w:rsid w:val="00C46B27"/>
    <w:rsid w:val="00C76841"/>
    <w:rsid w:val="00C87027"/>
    <w:rsid w:val="00CA2A9A"/>
    <w:rsid w:val="00CC4BE1"/>
    <w:rsid w:val="00CE38C6"/>
    <w:rsid w:val="00CF11BD"/>
    <w:rsid w:val="00CF4CA6"/>
    <w:rsid w:val="00CF77B6"/>
    <w:rsid w:val="00D10C46"/>
    <w:rsid w:val="00D13D96"/>
    <w:rsid w:val="00D1526A"/>
    <w:rsid w:val="00D21DBB"/>
    <w:rsid w:val="00D223DD"/>
    <w:rsid w:val="00D34EE1"/>
    <w:rsid w:val="00D3743B"/>
    <w:rsid w:val="00D416F4"/>
    <w:rsid w:val="00D4441F"/>
    <w:rsid w:val="00D613DE"/>
    <w:rsid w:val="00D672D4"/>
    <w:rsid w:val="00D8437A"/>
    <w:rsid w:val="00D96D41"/>
    <w:rsid w:val="00DA66E4"/>
    <w:rsid w:val="00DC4E79"/>
    <w:rsid w:val="00DE0583"/>
    <w:rsid w:val="00DE3861"/>
    <w:rsid w:val="00DF081A"/>
    <w:rsid w:val="00DF5A3A"/>
    <w:rsid w:val="00DF66BF"/>
    <w:rsid w:val="00E16CE2"/>
    <w:rsid w:val="00E16EB4"/>
    <w:rsid w:val="00E2293F"/>
    <w:rsid w:val="00E23F9F"/>
    <w:rsid w:val="00E44996"/>
    <w:rsid w:val="00E51D6A"/>
    <w:rsid w:val="00E57F26"/>
    <w:rsid w:val="00E6517A"/>
    <w:rsid w:val="00E74A86"/>
    <w:rsid w:val="00E754FF"/>
    <w:rsid w:val="00E8194F"/>
    <w:rsid w:val="00E82FB3"/>
    <w:rsid w:val="00E923A8"/>
    <w:rsid w:val="00EB51ED"/>
    <w:rsid w:val="00EB5C5B"/>
    <w:rsid w:val="00EB70E1"/>
    <w:rsid w:val="00EC09C5"/>
    <w:rsid w:val="00EC44BC"/>
    <w:rsid w:val="00EF7D92"/>
    <w:rsid w:val="00F215D9"/>
    <w:rsid w:val="00F37F4E"/>
    <w:rsid w:val="00F57C50"/>
    <w:rsid w:val="00F71C49"/>
    <w:rsid w:val="00F810D7"/>
    <w:rsid w:val="00F81909"/>
    <w:rsid w:val="00F96063"/>
    <w:rsid w:val="00FB10E2"/>
    <w:rsid w:val="00FB1FA9"/>
    <w:rsid w:val="00FB21A4"/>
    <w:rsid w:val="00FD0092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6"/>
  </w:style>
  <w:style w:type="paragraph" w:styleId="3">
    <w:name w:val="heading 3"/>
    <w:basedOn w:val="a"/>
    <w:link w:val="30"/>
    <w:uiPriority w:val="9"/>
    <w:qFormat/>
    <w:rsid w:val="0045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4355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3D43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753"/>
  </w:style>
  <w:style w:type="paragraph" w:styleId="a8">
    <w:name w:val="footer"/>
    <w:basedOn w:val="a"/>
    <w:link w:val="a9"/>
    <w:uiPriority w:val="99"/>
    <w:semiHidden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753"/>
  </w:style>
  <w:style w:type="character" w:customStyle="1" w:styleId="30">
    <w:name w:val="Заголовок 3 Знак"/>
    <w:basedOn w:val="a0"/>
    <w:link w:val="3"/>
    <w:uiPriority w:val="9"/>
    <w:rsid w:val="0045083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F81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3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uopr337_2</cp:lastModifiedBy>
  <cp:revision>121</cp:revision>
  <cp:lastPrinted>2021-10-12T05:48:00Z</cp:lastPrinted>
  <dcterms:created xsi:type="dcterms:W3CDTF">2020-11-27T14:00:00Z</dcterms:created>
  <dcterms:modified xsi:type="dcterms:W3CDTF">2025-01-20T13:47:00Z</dcterms:modified>
</cp:coreProperties>
</file>