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FC" w:rsidRPr="00D45962" w:rsidRDefault="001E13FC" w:rsidP="001E13FC">
      <w:pPr>
        <w:shd w:val="clear" w:color="auto" w:fill="FFFFFF"/>
        <w:spacing w:after="0" w:line="240" w:lineRule="atLeast"/>
        <w:ind w:left="1835" w:firstLine="383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 2</w:t>
      </w:r>
    </w:p>
    <w:p w:rsidR="001E13FC" w:rsidRPr="00D45962" w:rsidRDefault="001E13FC" w:rsidP="001E13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 аналізу регуляторного впливу до </w:t>
      </w:r>
      <w:proofErr w:type="spellStart"/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проєкту</w:t>
      </w:r>
      <w:proofErr w:type="spellEnd"/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регуляторного акта –рішення міської ради «Про </w:t>
      </w:r>
      <w:proofErr w:type="spellStart"/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встанов-лення</w:t>
      </w:r>
      <w:proofErr w:type="spellEnd"/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ставок податку на нерухоме майно, відмінне від земельної ділянки, у м. Кривому Розі» (розділ VI)</w:t>
      </w:r>
    </w:p>
    <w:p w:rsidR="001E13FC" w:rsidRPr="00D45962" w:rsidRDefault="001E13FC" w:rsidP="001E13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1E13FC" w:rsidRPr="00D45962" w:rsidRDefault="001E13FC" w:rsidP="001E13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ТЕСТ малого підприємництва (М-Тест)</w:t>
      </w:r>
    </w:p>
    <w:p w:rsidR="001E13FC" w:rsidRPr="00D45962" w:rsidRDefault="001E13FC" w:rsidP="001E13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F453AF" w:rsidRPr="00D45962" w:rsidRDefault="001E13FC" w:rsidP="001E13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1. Консультації з представниками  мікро- та </w:t>
      </w:r>
    </w:p>
    <w:p w:rsidR="001E13FC" w:rsidRPr="00D45962" w:rsidRDefault="001E13FC" w:rsidP="00F453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малого підприємництва щодо оцінки впливу регулювання</w:t>
      </w:r>
    </w:p>
    <w:p w:rsidR="001E13FC" w:rsidRPr="00D45962" w:rsidRDefault="001E13FC" w:rsidP="001E13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1E13FC" w:rsidRPr="00D45962" w:rsidRDefault="001E13FC" w:rsidP="001E1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Консультації щодо визначення впливу запропонованого регулювання на суб’єктів малого підприємництва (мікро- </w:t>
      </w:r>
      <w:r w:rsidR="004104FE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малі) та детального переліку процедур, виконання яких необхідно для здійснення регулювання, проведено відповідальними за підготовку проєкту регуляторного акта (</w:t>
      </w:r>
      <w:r w:rsidR="00B8080F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квітень -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5D85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</w:t>
      </w:r>
      <w:r w:rsidR="00B8080F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року). </w:t>
      </w:r>
    </w:p>
    <w:p w:rsidR="001E13FC" w:rsidRPr="00D45962" w:rsidRDefault="001E13FC" w:rsidP="001E13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1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5246"/>
        <w:gridCol w:w="1276"/>
        <w:gridCol w:w="2552"/>
      </w:tblGrid>
      <w:tr w:rsidR="001E13FC" w:rsidRPr="00D45962" w:rsidTr="006F55BE">
        <w:tc>
          <w:tcPr>
            <w:tcW w:w="293" w:type="pct"/>
          </w:tcPr>
          <w:p w:rsidR="001E13FC" w:rsidRPr="00D45962" w:rsidRDefault="001E13FC" w:rsidP="001E13F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721" w:type="pct"/>
          </w:tcPr>
          <w:p w:rsidR="001E13FC" w:rsidRPr="00D45962" w:rsidRDefault="001E13FC" w:rsidP="00590ED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Вид консультації (публічні консультації прямі («круглі столи», наради, робочі зустрічі тощо), інтернет-консультації прямі </w:t>
            </w:r>
            <w:r w:rsidR="00590ED8"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[</w:t>
            </w: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інтернет-форуми, </w:t>
            </w:r>
            <w:r w:rsidR="004104FE"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соціальні мережі тощо), запити (</w:t>
            </w: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до підприє</w:t>
            </w:r>
            <w:r w:rsidR="00590ED8"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мців, експертів, науковців тощо</w:t>
            </w: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)</w:t>
            </w:r>
            <w:r w:rsidR="00590ED8"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]</w:t>
            </w:r>
          </w:p>
        </w:tc>
        <w:tc>
          <w:tcPr>
            <w:tcW w:w="662" w:type="pct"/>
          </w:tcPr>
          <w:p w:rsidR="001E13FC" w:rsidRPr="00D45962" w:rsidRDefault="001E13FC" w:rsidP="001E13F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Кількість учасників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консуль-тацій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1E13FC" w:rsidRPr="00D45962" w:rsidRDefault="001E13FC" w:rsidP="001E13F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1324" w:type="pct"/>
          </w:tcPr>
          <w:p w:rsidR="001E13FC" w:rsidRPr="00D45962" w:rsidRDefault="001E13FC" w:rsidP="001E13F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Основні результати консультацій (опис)</w:t>
            </w:r>
          </w:p>
        </w:tc>
      </w:tr>
      <w:tr w:rsidR="00745D85" w:rsidRPr="00D45962" w:rsidTr="006F55BE">
        <w:trPr>
          <w:trHeight w:val="562"/>
        </w:trPr>
        <w:tc>
          <w:tcPr>
            <w:tcW w:w="293" w:type="pct"/>
          </w:tcPr>
          <w:p w:rsidR="00745D85" w:rsidRPr="00D45962" w:rsidRDefault="00745D85" w:rsidP="00E40D21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21" w:type="pct"/>
          </w:tcPr>
          <w:p w:rsidR="00745D85" w:rsidRPr="00D45962" w:rsidRDefault="00745D85" w:rsidP="00E40D21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міської координаційної ради з питань розвитку підприємництва</w:t>
            </w:r>
          </w:p>
        </w:tc>
        <w:tc>
          <w:tcPr>
            <w:tcW w:w="662" w:type="pct"/>
          </w:tcPr>
          <w:p w:rsidR="00745D85" w:rsidRPr="00D45962" w:rsidRDefault="00745D85" w:rsidP="001E13F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324" w:type="pct"/>
            <w:vMerge w:val="restart"/>
          </w:tcPr>
          <w:p w:rsidR="00745D85" w:rsidRPr="00D45962" w:rsidRDefault="00745D85" w:rsidP="00745D85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Визначення 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розміру  ставки податку в межах максимально допустимого розміру, визначеного Кодексом (1,5%) за класи-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фікацією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будівель та споруд, передбаченою Постановою №438  </w:t>
            </w:r>
          </w:p>
        </w:tc>
      </w:tr>
      <w:tr w:rsidR="00745D85" w:rsidRPr="00D45962" w:rsidTr="00590ED8">
        <w:trPr>
          <w:trHeight w:val="465"/>
        </w:trPr>
        <w:tc>
          <w:tcPr>
            <w:tcW w:w="293" w:type="pct"/>
          </w:tcPr>
          <w:p w:rsidR="00745D85" w:rsidRPr="00D45962" w:rsidRDefault="00560665" w:rsidP="00590ED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21" w:type="pct"/>
          </w:tcPr>
          <w:p w:rsidR="00745D85" w:rsidRPr="00D45962" w:rsidRDefault="00745D85" w:rsidP="00560665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Консультації із суб’єктами господарювання, </w:t>
            </w:r>
            <w:r w:rsidR="00043AAF" w:rsidRPr="00D4596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членами міських консультативн</w:t>
            </w:r>
            <w:r w:rsidR="00560665" w:rsidRPr="00D4596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043AAF" w:rsidRPr="00D4596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рад суб’єктів господарювання за відповідним напрямом </w:t>
            </w:r>
          </w:p>
        </w:tc>
        <w:tc>
          <w:tcPr>
            <w:tcW w:w="662" w:type="pct"/>
            <w:vAlign w:val="center"/>
          </w:tcPr>
          <w:p w:rsidR="00745D85" w:rsidRPr="00D45962" w:rsidRDefault="00043AAF" w:rsidP="001E13F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324" w:type="pct"/>
            <w:vMerge/>
          </w:tcPr>
          <w:p w:rsidR="00745D85" w:rsidRPr="00D45962" w:rsidRDefault="00745D85" w:rsidP="001E13F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85" w:rsidRPr="00D45962" w:rsidTr="006F55BE">
        <w:tc>
          <w:tcPr>
            <w:tcW w:w="293" w:type="pct"/>
          </w:tcPr>
          <w:p w:rsidR="00745D85" w:rsidRPr="00D45962" w:rsidRDefault="00745D85" w:rsidP="001E13F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721" w:type="pct"/>
            <w:vAlign w:val="center"/>
          </w:tcPr>
          <w:p w:rsidR="00745D85" w:rsidRPr="00D45962" w:rsidRDefault="00745D85" w:rsidP="001E13F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662" w:type="pct"/>
            <w:vAlign w:val="center"/>
          </w:tcPr>
          <w:p w:rsidR="00745D85" w:rsidRPr="00D45962" w:rsidRDefault="00043AAF" w:rsidP="001E13F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324" w:type="pct"/>
          </w:tcPr>
          <w:p w:rsidR="00745D85" w:rsidRPr="00D45962" w:rsidRDefault="00745D85" w:rsidP="001E13F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3FC" w:rsidRPr="00D45962" w:rsidRDefault="001E13FC" w:rsidP="001E13FC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EF17AB" w:rsidRPr="00D45962" w:rsidRDefault="00EF17AB" w:rsidP="001E1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90ED8" w:rsidRPr="00D45962" w:rsidRDefault="00590ED8" w:rsidP="001E1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</w:t>
      </w:r>
      <w:r w:rsidR="001E13FC"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ст.10, 12, 266 Кодексу (</w:t>
      </w: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1E13FC"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частині податку на нерухоме майно, </w:t>
      </w:r>
      <w:r w:rsidR="004104FE"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відмінне від земельної ділянки)</w:t>
      </w:r>
      <w:r w:rsidR="001E13FC"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ставки податку встановлюються залежно від місця розташування (зональності) та типів таких об’єктів нерухомості </w:t>
      </w: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1E13FC"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розмірі, що не перевищує 1,5 відсотка розміру мінімальної заробітної плати, </w:t>
      </w: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1E13FC"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становленої законом на 01 січня звітного (податкового) року, </w:t>
      </w:r>
    </w:p>
    <w:p w:rsidR="001E13FC" w:rsidRPr="00D45962" w:rsidRDefault="001E13FC" w:rsidP="00EC2B37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x-none"/>
        </w:rPr>
      </w:pP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1 кв</w:t>
      </w:r>
      <w:r w:rsidR="00590ED8"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м</w:t>
      </w: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загальної площі об'єкта житлової та нежитлової нерухомості, </w:t>
      </w:r>
      <w:r w:rsidR="00590ED8"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тому числі його часток</w:t>
      </w: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4596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x-none"/>
        </w:rPr>
        <w:t xml:space="preserve"> </w:t>
      </w:r>
    </w:p>
    <w:p w:rsidR="001E13FC" w:rsidRPr="00D45962" w:rsidRDefault="001E13FC" w:rsidP="00EC2B37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1E13FC" w:rsidRPr="00D45962" w:rsidRDefault="001E13FC" w:rsidP="00EC2B3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2. Вимірювання впливу регулювання на суб’єктів малого </w:t>
      </w:r>
    </w:p>
    <w:p w:rsidR="001E13FC" w:rsidRPr="00D45962" w:rsidRDefault="001E13FC" w:rsidP="00EC2B3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підприємництва (мікро- та малі)</w:t>
      </w:r>
    </w:p>
    <w:p w:rsidR="001E13FC" w:rsidRPr="00D45962" w:rsidRDefault="001E13FC" w:rsidP="00EC2B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Розрахункова кількість суб’єктів малого підприємництва, на яких поширюється регулювання</w:t>
      </w:r>
      <w:r w:rsidR="00590ED8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1 213 осіб, у тому числі малого підприємництва  85 осіб та </w:t>
      </w:r>
      <w:proofErr w:type="spellStart"/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мікропідприємництва</w:t>
      </w:r>
      <w:proofErr w:type="spellEnd"/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</w:t>
      </w:r>
      <w:r w:rsidR="00043AAF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128.</w:t>
      </w:r>
    </w:p>
    <w:p w:rsidR="00043AAF" w:rsidRPr="00D45962" w:rsidRDefault="00043AAF" w:rsidP="00043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2</w:t>
      </w:r>
    </w:p>
    <w:p w:rsidR="001E13FC" w:rsidRPr="00D45962" w:rsidRDefault="001E13FC" w:rsidP="00EC2B3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Питома</w:t>
      </w:r>
      <w:r w:rsidR="00590ED8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вага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суб’єктів малого підприємництва (мікро- та малі) у загальній кількості суб’єктів господарювання, на яких справляє вплив дія </w:t>
      </w:r>
      <w:proofErr w:type="spellStart"/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запропоно</w:t>
      </w:r>
      <w:r w:rsidR="00EC2B37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ваного</w:t>
      </w:r>
      <w:proofErr w:type="spellEnd"/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регулювання, становить  87,8% (дані наведені в таблиці 10</w:t>
      </w:r>
      <w:r w:rsidR="00EC2B37" w:rsidRPr="00D459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аналізу регуляторного впливу проєкту регуляторного акта – рішення Криворізької міської ради «Про встановлення ставок податку на нерухоме майно, відмінне від земельної ділянки, у м. Кривому Розі»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1E13FC" w:rsidRPr="00D45962" w:rsidRDefault="001E13FC" w:rsidP="00EC2B3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Регуляторний акт поширюється на суб’єктів господарювання міста, у тому числі</w:t>
      </w:r>
      <w:r w:rsidR="00590ED8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тих,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перебувають на обліку в податкових органах інших областей України, але мають об’єкти нерухомості на території м. Кривого Рогу.</w:t>
      </w:r>
      <w:r w:rsidRPr="00D4596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1E13FC" w:rsidRPr="006175E7" w:rsidRDefault="001E13FC" w:rsidP="00EC2B37">
      <w:pPr>
        <w:spacing w:after="0" w:line="228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1E13FC" w:rsidRPr="00D45962" w:rsidRDefault="001E13FC" w:rsidP="00EC2B37">
      <w:pPr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3. Розрахунок витрат суб’єктів малого підприємництва </w:t>
      </w:r>
    </w:p>
    <w:p w:rsidR="001E13FC" w:rsidRDefault="001E13FC" w:rsidP="00EC2B37">
      <w:pPr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виконання вимог регулювання</w:t>
      </w:r>
    </w:p>
    <w:p w:rsidR="008F701E" w:rsidRPr="00D45962" w:rsidRDefault="008F701E" w:rsidP="00EC2B37">
      <w:pPr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E13FC" w:rsidRPr="00D45962" w:rsidRDefault="001E13FC" w:rsidP="00EC2B37">
      <w:pPr>
        <w:spacing w:after="0" w:line="233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45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Таблиця</w:t>
      </w:r>
      <w:proofErr w:type="spellEnd"/>
      <w:r w:rsidR="00590ED8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D45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532"/>
        <w:gridCol w:w="2158"/>
        <w:gridCol w:w="1742"/>
        <w:gridCol w:w="1742"/>
      </w:tblGrid>
      <w:tr w:rsidR="001E13FC" w:rsidRPr="00D45962" w:rsidTr="008F701E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Найменування оцінки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У перший (стартовий) рік </w:t>
            </w:r>
            <w:r w:rsidR="00590ED8"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у</w:t>
            </w: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провадження регулювання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Періодичні (за наступний рік)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Витрати за п’ять років</w:t>
            </w:r>
          </w:p>
        </w:tc>
      </w:tr>
      <w:tr w:rsidR="001E13FC" w:rsidRPr="00D45962" w:rsidTr="008F701E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1E13FC" w:rsidRPr="00D45962" w:rsidTr="006F55B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1E13FC" w:rsidRPr="00D45962" w:rsidTr="008F701E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необхідного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облад-нання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(пристроїв, машин, механізмів)</w:t>
            </w: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D4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передбачає витрат на придбання основних фондів, обладнання та приладів, сервісне обслуговування, навчання / підвищення кваліфікації персоналу тощо</w:t>
            </w:r>
          </w:p>
        </w:tc>
      </w:tr>
      <w:tr w:rsidR="001E13FC" w:rsidRPr="00D45962" w:rsidTr="008F701E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6175E7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отримання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адмініст-ративних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 (дозволів, лі-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цензій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сертифікатів, атестатів, погоджень, висновків,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прове-дення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незалежних/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обов’язко-вих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експертиз, сертифікації, атестації тощо) та інших послуг (проведення наукових, інших експертиз, страхування тощо), грн</w:t>
            </w: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  <w:tr w:rsidR="001E13FC" w:rsidRPr="00D45962" w:rsidTr="008F701E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оборотні активи (матеріали, канцелярські товари тощо), грн</w:t>
            </w: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  <w:tr w:rsidR="001E13FC" w:rsidRPr="00D45962" w:rsidTr="008F701E">
        <w:trPr>
          <w:trHeight w:val="4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Витрати, пов’язані з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наймом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додаткового персоналу, грн</w:t>
            </w: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Оподаткування цим податком не передбачає зазначених витрат</w:t>
            </w:r>
          </w:p>
        </w:tc>
      </w:tr>
      <w:tr w:rsidR="001E13FC" w:rsidRPr="00D45962" w:rsidTr="008F701E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суб’єктів мікро- та малого підприємництва (юри-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дичні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особи), на яких буде поширено регулювання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(дані наведено в таблиці 10</w:t>
            </w:r>
            <w:r w:rsidRPr="00D4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  <w:r w:rsidR="00590ED8"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од.</w:t>
            </w:r>
          </w:p>
          <w:p w:rsidR="001E13FC" w:rsidRPr="00D45962" w:rsidRDefault="001E13FC" w:rsidP="00EC2B37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C2B37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1 213</w:t>
            </w:r>
          </w:p>
        </w:tc>
      </w:tr>
      <w:tr w:rsidR="001E13FC" w:rsidRPr="00D45962" w:rsidTr="008F701E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Сплата податку на нерухоме майно, відмінне від земельної ділянки, грн*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65 464 358,00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65 464 358,00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327 321 790,00</w:t>
            </w:r>
          </w:p>
        </w:tc>
      </w:tr>
      <w:tr w:rsidR="001E13FC" w:rsidRPr="00D45962" w:rsidTr="008F701E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6175E7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Сумарні витрати суб’єктів мік</w:t>
            </w:r>
            <w:r w:rsidR="00617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ро- та малого підприємництва, на виконання регулювання (вартість регулювання) (сума рядків 1 + 2 + 3 +  4 + 6), грн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65 464 358,00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65 464 358,00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327 321 790,00</w:t>
            </w:r>
          </w:p>
        </w:tc>
      </w:tr>
    </w:tbl>
    <w:p w:rsidR="008F701E" w:rsidRDefault="008F701E" w:rsidP="008F701E">
      <w:pPr>
        <w:jc w:val="right"/>
      </w:pPr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2</w:t>
      </w: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68"/>
        <w:gridCol w:w="3464"/>
        <w:gridCol w:w="2158"/>
        <w:gridCol w:w="1742"/>
        <w:gridCol w:w="1742"/>
      </w:tblGrid>
      <w:tr w:rsidR="00043AAF" w:rsidRPr="00D45962" w:rsidTr="008F701E"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AF" w:rsidRPr="00D45962" w:rsidRDefault="00043AAF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AF" w:rsidRPr="00D45962" w:rsidRDefault="00043AAF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AF" w:rsidRPr="00D45962" w:rsidRDefault="00043AAF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AF" w:rsidRPr="00D45962" w:rsidRDefault="00043AAF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AF" w:rsidRPr="00D45962" w:rsidRDefault="00043AAF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012590" w:rsidRPr="00D45962" w:rsidTr="0001259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90" w:rsidRPr="00D45962" w:rsidRDefault="00012590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Оцінка вартості адміністративних процедур суб’єктів </w:t>
            </w:r>
          </w:p>
          <w:p w:rsidR="00012590" w:rsidRPr="00D45962" w:rsidRDefault="00012590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малого підприємництва щодо виконання регулювання та звітування</w:t>
            </w:r>
          </w:p>
        </w:tc>
      </w:tr>
      <w:tr w:rsidR="001E13FC" w:rsidRPr="00D45962" w:rsidTr="008F701E"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ind w:left="34" w:right="56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Процедури отримання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перви-нної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інформації про вимоги регулювання:</w:t>
            </w:r>
          </w:p>
          <w:p w:rsidR="001E13FC" w:rsidRPr="00D45962" w:rsidRDefault="001E13FC" w:rsidP="00E80169">
            <w:pPr>
              <w:spacing w:after="0" w:line="240" w:lineRule="auto"/>
              <w:ind w:left="34" w:right="56" w:hanging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45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Формула: </w:t>
            </w:r>
          </w:p>
          <w:p w:rsidR="001E13FC" w:rsidRPr="00D45962" w:rsidRDefault="001E13FC" w:rsidP="00E80169">
            <w:pPr>
              <w:tabs>
                <w:tab w:val="left" w:pos="-492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витрати часу на отримання інформації про регулювання </w:t>
            </w:r>
            <w:r w:rsidR="00DF5870" w:rsidRPr="00D45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              </w:t>
            </w:r>
            <w:r w:rsidRPr="00D45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Х вартість часу суб’єкта підприємництва (заробітна плата) = 0,1 год.**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0ED8"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 w:rsidRPr="00D459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                </w:t>
            </w:r>
            <w:r w:rsidRPr="00D45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41,88 грн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(мінімальна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зарпла</w:t>
            </w:r>
            <w:proofErr w:type="spellEnd"/>
            <w:r w:rsidR="006175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та 6 700,00 грн 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sym w:font="Symbol" w:char="F03A"/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160 год. на місяць)</w:t>
            </w:r>
            <w:r w:rsidRPr="00D45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= 4,19 грн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передбачає витрат (ознайомлення в перший рік)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4,19 (ознайомлення в перший рік)</w:t>
            </w:r>
          </w:p>
        </w:tc>
      </w:tr>
      <w:tr w:rsidR="001E13FC" w:rsidRPr="00D45962" w:rsidTr="008F701E"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ind w:left="34" w:right="5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організації вико-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нання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вимог регулювання</w:t>
            </w: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Оподаткування цим податком не передбачає зазначених витрат</w:t>
            </w:r>
          </w:p>
        </w:tc>
      </w:tr>
      <w:tr w:rsidR="001E13FC" w:rsidRPr="00D45962" w:rsidTr="008F701E"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оборотні активи (матеріали, канцелярські товари тощо), грн</w:t>
            </w: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Оподаткування цим податком не передбачає зазначених витрат</w:t>
            </w:r>
          </w:p>
        </w:tc>
      </w:tr>
      <w:tr w:rsidR="001E13FC" w:rsidRPr="00D45962" w:rsidTr="008F701E"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офіційного подання юридичними особами декларації  зі сплат</w:t>
            </w:r>
            <w:r w:rsidR="000170D3"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 податку контролюючому органу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1E13FC" w:rsidRPr="00D45962" w:rsidRDefault="001E13FC" w:rsidP="00E80169">
            <w:pPr>
              <w:spacing w:after="0" w:line="240" w:lineRule="auto"/>
              <w:ind w:left="34" w:right="56" w:hanging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45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Формула: </w:t>
            </w:r>
          </w:p>
          <w:p w:rsidR="001E13FC" w:rsidRPr="00D45962" w:rsidRDefault="001E13FC" w:rsidP="00E80169">
            <w:pPr>
              <w:tabs>
                <w:tab w:val="left" w:pos="-492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витрати часу з підготовки та подання декларації </w:t>
            </w:r>
            <w:r w:rsidRPr="00D45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Х вартість часу суб’єкта підприємництва (заробітна плата)</w:t>
            </w:r>
          </w:p>
          <w:p w:rsidR="001E13FC" w:rsidRPr="00D45962" w:rsidRDefault="001E13FC" w:rsidP="00E80169">
            <w:pPr>
              <w:spacing w:after="0" w:line="240" w:lineRule="auto"/>
              <w:ind w:left="51" w:right="5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за перший рік = 0,2 год.** </w:t>
            </w:r>
            <w:r w:rsidR="00590ED8"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41,88 грн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(мінімальна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зар</w:t>
            </w:r>
            <w:proofErr w:type="spellEnd"/>
            <w:r w:rsidR="00E80169"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плата 6 700,00 грн</w:t>
            </w:r>
            <w:r w:rsidR="00AF29F4" w:rsidRPr="00D45962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sym w:font="Symbol" w:char="F03A"/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160 год. на місяць)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= 8,38 грн;</w:t>
            </w:r>
          </w:p>
          <w:p w:rsidR="001E13FC" w:rsidRPr="00D45962" w:rsidRDefault="001E13FC" w:rsidP="00AD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 за п’ять років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= 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0,2 год. </w:t>
            </w:r>
            <w:r w:rsidR="00590ED8"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Х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41,88 грн </w:t>
            </w:r>
            <w:r w:rsidR="00AD30AC"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5 років</w:t>
            </w:r>
            <w:r w:rsidRPr="00D459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= 41,90 грн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41,90</w:t>
            </w:r>
          </w:p>
        </w:tc>
      </w:tr>
      <w:tr w:rsidR="001E13FC" w:rsidRPr="00D45962" w:rsidTr="008F701E"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процедури</w:t>
            </w:r>
          </w:p>
        </w:tc>
        <w:tc>
          <w:tcPr>
            <w:tcW w:w="2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передбачено </w:t>
            </w:r>
          </w:p>
        </w:tc>
      </w:tr>
      <w:tr w:rsidR="001E13FC" w:rsidRPr="00D45962" w:rsidTr="008F701E"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  <w:r w:rsidRPr="00D459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 xml:space="preserve"> (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</w:t>
            </w:r>
            <w:r w:rsidRPr="00D459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>м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рядків</w:t>
            </w:r>
            <w:r w:rsidRPr="00D459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 xml:space="preserve">: 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D459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Pr="00D459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D459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Pr="00D459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 xml:space="preserve"> 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+ 11 + 12), грн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46,09</w:t>
            </w:r>
          </w:p>
        </w:tc>
      </w:tr>
      <w:tr w:rsidR="001E13FC" w:rsidRPr="00D45962" w:rsidTr="008F701E"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617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суб’єктів мікро- та малого підприємництва (юри-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дичні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особи), на як</w:t>
            </w:r>
            <w:r w:rsidR="00E80169"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буде по</w:t>
            </w:r>
            <w:r w:rsidR="00E80169"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="00E80169"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ширено</w:t>
            </w:r>
            <w:proofErr w:type="spellEnd"/>
            <w:r w:rsidR="00E80169"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регулювання, од.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E13FC" w:rsidRPr="00D45962" w:rsidRDefault="001E13FC" w:rsidP="00E8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1 213</w:t>
            </w:r>
          </w:p>
        </w:tc>
      </w:tr>
      <w:tr w:rsidR="001E13FC" w:rsidRPr="00D45962" w:rsidTr="008F701E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1E13FC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617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Сумарні витрати суб’єктів мікро- та малого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підприєм-ництва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на виконання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регулю</w:t>
            </w:r>
            <w:r w:rsidR="00E80169"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(вартість регулювання) (рядок 13 х рядок 14), грн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1E13FC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15 247,41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1E13FC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10 164,94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1E13FC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55 907,17</w:t>
            </w:r>
          </w:p>
        </w:tc>
      </w:tr>
      <w:tr w:rsidR="001E13FC" w:rsidRPr="00D45962" w:rsidTr="008F701E">
        <w:trPr>
          <w:trHeight w:val="35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1E13FC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FC" w:rsidRPr="00D45962" w:rsidRDefault="001E13FC" w:rsidP="001E13FC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(сума рядків: 7 +15), грн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1E13FC">
            <w:pPr>
              <w:tabs>
                <w:tab w:val="left" w:pos="660"/>
              </w:tabs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  <w:t>65 479 605,41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1E13FC">
            <w:pPr>
              <w:tabs>
                <w:tab w:val="left" w:pos="660"/>
              </w:tabs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  <w:t>65 474 522,94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1E13FC">
            <w:pPr>
              <w:tabs>
                <w:tab w:val="left" w:pos="660"/>
              </w:tabs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  <w:t xml:space="preserve">327 377 697,17  </w:t>
            </w:r>
          </w:p>
        </w:tc>
      </w:tr>
    </w:tbl>
    <w:p w:rsidR="00043AAF" w:rsidRPr="00D45962" w:rsidRDefault="00043AAF" w:rsidP="00043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2</w:t>
      </w:r>
    </w:p>
    <w:p w:rsidR="001E13FC" w:rsidRPr="00D45962" w:rsidRDefault="001E13FC" w:rsidP="001E13FC">
      <w:pPr>
        <w:spacing w:after="0" w:line="233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4596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  <w:t>*</w:t>
      </w:r>
      <w:r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Сплата податку на нерухоме майно, відмінне від земельної ділянки, зазначена </w:t>
      </w:r>
      <w:r w:rsidRPr="00D4596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за </w:t>
      </w:r>
      <w:r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інформаціями Головного управління ДПС у Дніпропетровській області (листи від 20.01.2021 №156/5/04-36-04-10, 25.01.2021 №310/5/04-36-04-11-08)</w:t>
      </w:r>
      <w:r w:rsidR="00F61B38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аналітични</w:t>
      </w:r>
      <w:r w:rsidR="009C1E96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ми</w:t>
      </w:r>
      <w:r w:rsidR="00F61B38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розрахунк</w:t>
      </w:r>
      <w:r w:rsidR="009C1E96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ами відповідальни</w:t>
      </w:r>
      <w:r w:rsidR="005362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х</w:t>
      </w:r>
      <w:r w:rsidR="009C1E96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F61B38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60665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 р</w:t>
      </w:r>
      <w:r w:rsidR="00F61B38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озроб</w:t>
      </w:r>
      <w:r w:rsidR="00560665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лення </w:t>
      </w:r>
      <w:r w:rsidR="00F61B38"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регуляторного акт</w:t>
      </w:r>
      <w:r w:rsidR="005362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</w:p>
    <w:p w:rsidR="001E13FC" w:rsidRDefault="001E13FC" w:rsidP="001E13FC">
      <w:pPr>
        <w:widowControl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D459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**Відповідно до пункту 1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 року №269 «Міжгалузеві нормативи чисельності працівників бухгалтерського обліку»).</w:t>
      </w:r>
    </w:p>
    <w:p w:rsidR="0053623C" w:rsidRPr="00D45962" w:rsidRDefault="0053623C" w:rsidP="001E13FC">
      <w:pPr>
        <w:widowControl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</w:p>
    <w:p w:rsidR="001E13FC" w:rsidRPr="00D45962" w:rsidRDefault="001E13FC" w:rsidP="001E13FC">
      <w:pPr>
        <w:spacing w:after="0" w:line="232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1E13FC" w:rsidRPr="00D45962" w:rsidRDefault="001E13FC" w:rsidP="001E13FC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БЮДЖЕТНІ ВИТРАТИ</w:t>
      </w:r>
    </w:p>
    <w:p w:rsidR="001E13FC" w:rsidRPr="00D45962" w:rsidRDefault="001E13FC" w:rsidP="00E80169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адміністрування регулювання суб’єктів малого підприємництва</w:t>
      </w:r>
    </w:p>
    <w:p w:rsidR="001E13FC" w:rsidRPr="00D45962" w:rsidRDefault="001E13FC" w:rsidP="001E13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Державне регулювання не передбачає утворення нового державного органу (або нового структурного підрозділу діючого органу). 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E13FC" w:rsidRPr="00D45962" w:rsidRDefault="001E13FC" w:rsidP="001E13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 від того чи будуть встановлені ставки податку видатки контролюючих органів та органів місцевого самоврядування не зміняться.</w:t>
      </w:r>
    </w:p>
    <w:p w:rsidR="001E13FC" w:rsidRPr="00D45962" w:rsidRDefault="001E13FC" w:rsidP="001E13F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Органи місцевого самоврядування наділені повноваженнями встановлювати ставки місцевих податків (зборів), не змінюючи порядок їх обчислення, сплати та інші адміністративні процедури. </w:t>
      </w:r>
    </w:p>
    <w:p w:rsidR="001E13FC" w:rsidRPr="00D45962" w:rsidRDefault="001E13FC" w:rsidP="001E13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Відповідно до вимог Кодексу контроль за правильністю нарахування, повнот</w:t>
      </w:r>
      <w:r w:rsidR="00E80169" w:rsidRPr="00D4596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ою</w:t>
      </w:r>
      <w:r w:rsidRPr="00D4596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і своєчасн</w:t>
      </w:r>
      <w:r w:rsidR="00F453AF" w:rsidRPr="00D4596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істю</w:t>
      </w:r>
      <w:r w:rsidRPr="00D4596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сплат</w:t>
      </w:r>
      <w:r w:rsidR="00F453AF" w:rsidRPr="00D4596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и</w:t>
      </w:r>
      <w:r w:rsidRPr="00D4596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податків покладено на контролюючі органи. </w:t>
      </w:r>
    </w:p>
    <w:p w:rsidR="001E13FC" w:rsidRPr="00D45962" w:rsidRDefault="001E13FC" w:rsidP="001E13F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Бюджетні витрати на адміністрування регулювання суб’єктів малого  підприємництва (мікро- та мал</w:t>
      </w:r>
      <w:r w:rsidR="00E80169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здійснюються в межах бюджетних асигнувань для відповідного діючого органу. </w:t>
      </w:r>
    </w:p>
    <w:p w:rsidR="001E13FC" w:rsidRPr="0053623C" w:rsidRDefault="001E13FC" w:rsidP="00E8016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7555" w:rsidRPr="00D45962" w:rsidRDefault="001E13FC" w:rsidP="001E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4. Розрахунок сумарних витрат суб’єктів малого </w:t>
      </w:r>
    </w:p>
    <w:p w:rsidR="001E13FC" w:rsidRDefault="001E13FC" w:rsidP="00FF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підприємництва,</w:t>
      </w:r>
      <w:r w:rsidR="00FF7555"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 виникають на виконання вимог регулювання</w:t>
      </w:r>
    </w:p>
    <w:p w:rsidR="0053623C" w:rsidRPr="00D45962" w:rsidRDefault="0053623C" w:rsidP="00FF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E13FC" w:rsidRPr="00D45962" w:rsidRDefault="001E13FC" w:rsidP="001E13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459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821"/>
        <w:gridCol w:w="2126"/>
        <w:gridCol w:w="2268"/>
      </w:tblGrid>
      <w:tr w:rsidR="001E13FC" w:rsidRPr="00D45962" w:rsidTr="006F55BE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C" w:rsidRPr="00D45962" w:rsidRDefault="001E13FC" w:rsidP="0053623C">
            <w:pPr>
              <w:spacing w:after="0" w:line="245" w:lineRule="auto"/>
              <w:ind w:left="-72"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1E13FC" w:rsidRPr="00D45962" w:rsidRDefault="001E13FC" w:rsidP="0053623C">
            <w:pPr>
              <w:spacing w:after="0" w:line="245" w:lineRule="auto"/>
              <w:ind w:left="-72"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Перший рік регулювання (стартовий), 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 п’ять років, грн</w:t>
            </w:r>
          </w:p>
        </w:tc>
      </w:tr>
      <w:tr w:rsidR="001E13FC" w:rsidRPr="00D45962" w:rsidTr="006F55BE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C" w:rsidRPr="00D45962" w:rsidRDefault="001E13FC" w:rsidP="0053623C">
            <w:pPr>
              <w:spacing w:after="0" w:line="245" w:lineRule="auto"/>
              <w:ind w:left="-72"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C" w:rsidRPr="00D45962" w:rsidRDefault="001E13FC" w:rsidP="0053623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 «прямих» витрат суб’єктів мікро- та малого підприємництва на виконання регулювання, грн  (рядок 7 таблиці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65 464 358,00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327 321 790,00</w:t>
            </w:r>
          </w:p>
        </w:tc>
      </w:tr>
      <w:tr w:rsidR="001E13FC" w:rsidRPr="00D45962" w:rsidTr="006F55BE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Оцінка вартості адміністративних процедур для суб’єктів мікро- </w:t>
            </w:r>
            <w:r w:rsidR="00E80169"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малого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підприєм-ництва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виконання регулювання та звітування, грн (рядок 15 таблиці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15 247,41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55 907,17</w:t>
            </w:r>
          </w:p>
        </w:tc>
      </w:tr>
      <w:tr w:rsidR="001E13FC" w:rsidRPr="00D45962" w:rsidTr="006F55BE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ind w:left="-72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Сумарні витрати суб’єктів мікро- та малого підприємництва на виконання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-ного регулювання (рядок 1+ рядок 2),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  <w:t>65 479 605,41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tabs>
                <w:tab w:val="left" w:pos="660"/>
              </w:tabs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  <w:t xml:space="preserve">327 377 697,17  </w:t>
            </w:r>
          </w:p>
        </w:tc>
      </w:tr>
      <w:tr w:rsidR="001E13FC" w:rsidRPr="00D45962" w:rsidTr="006F55BE">
        <w:trPr>
          <w:trHeight w:val="35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ind w:left="-72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Бюджетні витрати на адміністрування регулювання суб’єктів мікро- та малого підприємництва,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1E13FC" w:rsidRPr="00D45962" w:rsidTr="006F55BE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ind w:left="-72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/>
              </w:rPr>
            </w:pPr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Сумарні витрати на виконання </w:t>
            </w:r>
            <w:proofErr w:type="spellStart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заплано-ваного</w:t>
            </w:r>
            <w:proofErr w:type="spellEnd"/>
            <w:r w:rsidRPr="00D459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регулювання (рядок 3 + рядок 4),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  <w:t>65 479 605,41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FC" w:rsidRPr="00D45962" w:rsidRDefault="001E13FC" w:rsidP="0053623C">
            <w:pPr>
              <w:tabs>
                <w:tab w:val="left" w:pos="660"/>
              </w:tabs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</w:pPr>
            <w:r w:rsidRPr="00D4596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  <w:t xml:space="preserve">327 377 697,17  </w:t>
            </w:r>
          </w:p>
        </w:tc>
      </w:tr>
    </w:tbl>
    <w:p w:rsidR="001E13FC" w:rsidRPr="00D45962" w:rsidRDefault="001E13FC" w:rsidP="001E13FC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bdr w:val="none" w:sz="0" w:space="0" w:color="auto" w:frame="1"/>
          <w:lang w:val="uk-UA"/>
        </w:rPr>
      </w:pPr>
    </w:p>
    <w:p w:rsidR="0053623C" w:rsidRDefault="0053623C" w:rsidP="001E13FC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3623C" w:rsidRPr="00D45962" w:rsidRDefault="0053623C" w:rsidP="005362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2</w:t>
      </w:r>
    </w:p>
    <w:p w:rsidR="00E80169" w:rsidRPr="00D45962" w:rsidRDefault="001E13FC" w:rsidP="001E13FC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5. Розроблення коригуючих (пом’якшувальних) заходів </w:t>
      </w:r>
    </w:p>
    <w:p w:rsidR="001E13FC" w:rsidRPr="00D45962" w:rsidRDefault="001E13FC" w:rsidP="0053623C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малого підпр</w:t>
      </w:r>
      <w:r w:rsidR="00E80169"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иємництва щодо запропонованого </w:t>
      </w:r>
      <w:r w:rsidRPr="00D459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регулювання</w:t>
      </w:r>
    </w:p>
    <w:p w:rsidR="00970425" w:rsidRDefault="001E13FC" w:rsidP="0053623C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Податковим кодексом України визначаються об’єкт, база </w:t>
      </w:r>
      <w:r w:rsidR="00970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оподаткування, </w:t>
      </w:r>
    </w:p>
    <w:p w:rsidR="001E13FC" w:rsidRPr="00D45962" w:rsidRDefault="001E13FC" w:rsidP="0053623C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податковий період, порядки обчислення суми податку, обчислення сум податку в разі зміни власника об’єкта оподаткування, строк, порядок сплати податку та інші його обов’язкові елементи й повноваження органів місцевого самоврядування щодо його встановлення.</w:t>
      </w:r>
    </w:p>
    <w:p w:rsidR="001E13FC" w:rsidRPr="00D45962" w:rsidRDefault="001E13FC" w:rsidP="0053623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податок не є новим. При його запровадженні для суб’єктів мікро- та малого підприємництва на законодавчому рівні вже застосовано коригуючі (пом’якшувальні) заходи, а саме: не є об’єктами оподаткування об’єкти нежитлової нерухомості, що використовуються суб’єктами господарювання малого та середнього бізнесу, які провадять діяльність у мал</w:t>
      </w:r>
      <w:r w:rsidR="00E80169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архітектурних формах та на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ринках, будівлі, споруди сільськогосподарських товаровиробників (юридичних та фізичних осіб), що віднесені до класу «Будівлі сільськогосподарського призначення, лісівництва та рибного господарства» (код 1271) Державного класифікатора  будівель та споруд ДК 018-2000 та не здаються їх власниками в оренду, лізинг, позичку тощо. </w:t>
      </w:r>
    </w:p>
    <w:p w:rsidR="00B8080F" w:rsidRPr="00D45962" w:rsidRDefault="00B8080F" w:rsidP="0053623C">
      <w:pPr>
        <w:pStyle w:val="a3"/>
        <w:spacing w:line="230" w:lineRule="auto"/>
        <w:ind w:firstLine="708"/>
        <w:jc w:val="both"/>
        <w:rPr>
          <w:rStyle w:val="2"/>
          <w:bCs/>
          <w:sz w:val="28"/>
          <w:szCs w:val="28"/>
          <w:lang w:val="uk-UA" w:eastAsia="uk-UA"/>
        </w:rPr>
      </w:pPr>
      <w:r w:rsidRPr="00D45962">
        <w:rPr>
          <w:rStyle w:val="2"/>
          <w:bCs/>
          <w:sz w:val="28"/>
          <w:szCs w:val="28"/>
          <w:lang w:val="uk-UA" w:eastAsia="uk-UA"/>
        </w:rPr>
        <w:t>У регуляторному акті передбачається:</w:t>
      </w:r>
    </w:p>
    <w:p w:rsidR="00B8080F" w:rsidRPr="00D45962" w:rsidRDefault="00B8080F" w:rsidP="0053623C">
      <w:pPr>
        <w:pStyle w:val="a3"/>
        <w:spacing w:line="230" w:lineRule="auto"/>
        <w:ind w:firstLine="708"/>
        <w:jc w:val="both"/>
        <w:rPr>
          <w:sz w:val="28"/>
          <w:szCs w:val="28"/>
          <w:lang w:val="uk-UA"/>
        </w:rPr>
      </w:pPr>
      <w:r w:rsidRPr="00D45962">
        <w:rPr>
          <w:rStyle w:val="2"/>
          <w:bCs/>
          <w:sz w:val="28"/>
          <w:szCs w:val="28"/>
          <w:lang w:val="uk-UA" w:eastAsia="uk-UA"/>
        </w:rPr>
        <w:t>-</w:t>
      </w:r>
      <w:r w:rsidRPr="00D45962">
        <w:rPr>
          <w:sz w:val="28"/>
          <w:szCs w:val="28"/>
          <w:lang w:val="uk-UA"/>
        </w:rPr>
        <w:t xml:space="preserve"> зберегти пільгу в розмірі 100% для </w:t>
      </w:r>
      <w:r w:rsidRPr="00D45962">
        <w:rPr>
          <w:bCs/>
          <w:sz w:val="28"/>
          <w:szCs w:val="28"/>
          <w:lang w:val="uk-UA"/>
        </w:rPr>
        <w:t xml:space="preserve">господарських (присадибних) будівель – допоміжних (нежитлових) приміщень, до яких належать сараї, хліви, гаражі, літні кухні, майстерні, вбиральні, погреби, навіси, котельні, бойлерні, трансформаторні підстанції тощо, що перебувають у власності пенсіонерів. </w:t>
      </w:r>
      <w:r w:rsidRPr="00D45962">
        <w:rPr>
          <w:sz w:val="28"/>
          <w:szCs w:val="28"/>
          <w:lang w:val="uk-UA"/>
        </w:rPr>
        <w:t>Зазначена пільга з податку не застосовується до об’єкта/об’єктів, що використовуються їх власниками з метою одержання доходів (здаються в оренду, лізинг, позичку, використовуються в підприємницькій діяльності). Прогнозна чисельність фізичних осіб – пенсіонерів, яким буде надана така пільга зі сплати податку, становить 504 (листи Головного управління ДПС у Дніпропетровській області від 20.01.2021 №156/5/04-36-04-10, 25.01.2021 №310/5/04-36-04-11-08);</w:t>
      </w:r>
    </w:p>
    <w:p w:rsidR="00B8080F" w:rsidRPr="00D45962" w:rsidRDefault="00B8080F" w:rsidP="0053623C">
      <w:pPr>
        <w:pStyle w:val="a3"/>
        <w:spacing w:line="230" w:lineRule="auto"/>
        <w:jc w:val="both"/>
        <w:rPr>
          <w:sz w:val="28"/>
          <w:szCs w:val="28"/>
          <w:lang w:val="uk-UA"/>
        </w:rPr>
      </w:pPr>
      <w:r w:rsidRPr="00D45962">
        <w:rPr>
          <w:sz w:val="28"/>
          <w:szCs w:val="28"/>
          <w:lang w:val="uk-UA"/>
        </w:rPr>
        <w:tab/>
        <w:t>- залишити без змін на рівні останніх трьох років розміри ставок податку:</w:t>
      </w:r>
    </w:p>
    <w:p w:rsidR="00B8080F" w:rsidRPr="00D45962" w:rsidRDefault="00B8080F" w:rsidP="0053623C">
      <w:pPr>
        <w:pStyle w:val="a3"/>
        <w:spacing w:line="230" w:lineRule="auto"/>
        <w:jc w:val="both"/>
        <w:rPr>
          <w:bCs/>
          <w:strike/>
          <w:sz w:val="28"/>
          <w:szCs w:val="28"/>
          <w:lang w:val="uk-UA" w:eastAsia="uk-UA"/>
        </w:rPr>
      </w:pPr>
      <w:r w:rsidRPr="00D45962">
        <w:rPr>
          <w:sz w:val="28"/>
          <w:szCs w:val="28"/>
          <w:lang w:val="uk-UA"/>
        </w:rPr>
        <w:tab/>
        <w:t xml:space="preserve">– на </w:t>
      </w:r>
      <w:r w:rsidRPr="00D45962">
        <w:rPr>
          <w:color w:val="000000"/>
          <w:sz w:val="28"/>
          <w:szCs w:val="28"/>
          <w:shd w:val="clear" w:color="auto" w:fill="FFFFFF"/>
          <w:lang w:val="uk-UA"/>
        </w:rPr>
        <w:t>об’єкти житлової нерухомості,</w:t>
      </w:r>
      <w:r w:rsidRPr="00D45962">
        <w:rPr>
          <w:iCs/>
          <w:sz w:val="28"/>
          <w:szCs w:val="28"/>
          <w:lang w:val="uk-UA"/>
        </w:rPr>
        <w:t xml:space="preserve"> залежно від місця розташування (зональності) об’єктів,</w:t>
      </w:r>
      <w:r w:rsidRPr="00D45962">
        <w:rPr>
          <w:color w:val="000000"/>
          <w:sz w:val="28"/>
          <w:szCs w:val="28"/>
          <w:shd w:val="clear" w:color="auto" w:fill="FFFFFF"/>
          <w:lang w:val="uk-UA"/>
        </w:rPr>
        <w:t xml:space="preserve"> що перебувають у власності</w:t>
      </w:r>
      <w:r w:rsidRPr="00D45962">
        <w:rPr>
          <w:sz w:val="28"/>
          <w:szCs w:val="28"/>
          <w:lang w:val="uk-UA"/>
        </w:rPr>
        <w:t xml:space="preserve"> фізичних осіб – від 0,19% до 0,21%. За 1 кв. м житлової нерухомості фізичні особи будуть сплачувати в перший рік регулювання від 12,73 грн до 14,07 грн</w:t>
      </w:r>
      <w:r w:rsidRPr="00D45962">
        <w:rPr>
          <w:color w:val="FF0000"/>
          <w:sz w:val="28"/>
          <w:szCs w:val="28"/>
          <w:lang w:val="uk-UA"/>
        </w:rPr>
        <w:t xml:space="preserve"> </w:t>
      </w:r>
      <w:r w:rsidRPr="00D45962">
        <w:rPr>
          <w:sz w:val="28"/>
          <w:szCs w:val="28"/>
          <w:lang w:val="uk-UA"/>
        </w:rPr>
        <w:t>(Кодексом не розподілено фізичних осіб на підприємців та громадян. Облік таких платників податку ведеться контролюючими органами за податковими номерами фізичної особи (п.63.6 ст.63 Кодексу) і податковим програмним забезпеченням не передбачено формування окремих відомостей за фізичними особами-підприємцями та громадянами. Це пояснює неможливість визначення окремо чисельності фізичних осіб-підприємців і громадян);</w:t>
      </w:r>
    </w:p>
    <w:p w:rsidR="00B8080F" w:rsidRPr="00D45962" w:rsidRDefault="00B8080F" w:rsidP="0053623C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962">
        <w:rPr>
          <w:rFonts w:ascii="Times New Roman" w:hAnsi="Times New Roman" w:cs="Times New Roman"/>
          <w:sz w:val="28"/>
          <w:szCs w:val="28"/>
        </w:rPr>
        <w:t>–</w:t>
      </w:r>
      <w:r w:rsidRPr="00D45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45962">
        <w:rPr>
          <w:rFonts w:ascii="Times New Roman" w:hAnsi="Times New Roman" w:cs="Times New Roman"/>
          <w:iCs/>
          <w:sz w:val="28"/>
          <w:szCs w:val="28"/>
          <w:lang w:val="uk-UA"/>
        </w:rPr>
        <w:t>на</w:t>
      </w:r>
      <w:proofErr w:type="gramEnd"/>
      <w:r w:rsidRPr="00D459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об</w:t>
      </w:r>
      <w:r w:rsidRPr="00D45962">
        <w:rPr>
          <w:rFonts w:ascii="Times New Roman" w:hAnsi="Times New Roman" w:cs="Times New Roman"/>
          <w:iCs/>
          <w:sz w:val="28"/>
          <w:szCs w:val="28"/>
        </w:rPr>
        <w:t>’</w:t>
      </w:r>
      <w:proofErr w:type="spellStart"/>
      <w:r w:rsidRPr="00D45962">
        <w:rPr>
          <w:rFonts w:ascii="Times New Roman" w:hAnsi="Times New Roman" w:cs="Times New Roman"/>
          <w:iCs/>
          <w:sz w:val="28"/>
          <w:szCs w:val="28"/>
          <w:lang w:val="uk-UA"/>
        </w:rPr>
        <w:t>єкти</w:t>
      </w:r>
      <w:proofErr w:type="spellEnd"/>
      <w:r w:rsidRPr="00D459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нежитлової нерухомості, що перебувають у власності </w:t>
      </w:r>
      <w:r w:rsidRPr="00D45962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</w:t>
      </w:r>
      <w:proofErr w:type="gramStart"/>
      <w:r w:rsidRPr="00D45962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gramEnd"/>
      <w:r w:rsidRPr="00D45962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осіб:</w:t>
      </w:r>
    </w:p>
    <w:p w:rsidR="00B8080F" w:rsidRPr="00D45962" w:rsidRDefault="00B8080F" w:rsidP="0053623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962">
        <w:rPr>
          <w:rFonts w:ascii="Times New Roman" w:hAnsi="Times New Roman" w:cs="Times New Roman"/>
          <w:sz w:val="28"/>
          <w:szCs w:val="28"/>
          <w:lang w:val="uk-UA"/>
        </w:rPr>
        <w:t>• для будівель музеїв та бібліотек, спеціальних навчальних закладів для дітей з особливими потребами від 0,09% до 0,11%;</w:t>
      </w:r>
    </w:p>
    <w:p w:rsidR="00B8080F" w:rsidRDefault="00B8080F" w:rsidP="0053623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45962">
        <w:rPr>
          <w:rFonts w:ascii="Times New Roman" w:hAnsi="Times New Roman" w:cs="Times New Roman"/>
          <w:sz w:val="28"/>
          <w:szCs w:val="28"/>
          <w:lang w:val="uk-UA"/>
        </w:rPr>
        <w:t>• для інших нежитлових будівель від 0,49% до 0,51%, що</w:t>
      </w:r>
      <w:r w:rsidRPr="00D459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 нижчими за максимальний розмір, передбачений на законодавчому рівні (1,50%);</w:t>
      </w:r>
    </w:p>
    <w:p w:rsidR="00B8080F" w:rsidRPr="00D45962" w:rsidRDefault="00B8080F" w:rsidP="00B80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2</w:t>
      </w:r>
    </w:p>
    <w:p w:rsidR="00B8080F" w:rsidRPr="00D45962" w:rsidRDefault="00B8080F" w:rsidP="00B8080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459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установити розмір ставки для </w:t>
      </w:r>
      <w:r w:rsidRPr="00D459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групи «будівлі лікарень та оздоровчих закладів» з 0,31%, 0,30%, 0,29% до 0,51%, 0,50%, 0,49% залежно від місця розташування (зональності) об’єктів, як і для більшості груп об’єктів нежитлової нерухомості, що використовуються для комерційної діяльності. </w:t>
      </w:r>
    </w:p>
    <w:p w:rsidR="00B8080F" w:rsidRPr="00D45962" w:rsidRDefault="00B8080F" w:rsidP="00B8080F">
      <w:pPr>
        <w:pStyle w:val="a3"/>
        <w:jc w:val="both"/>
        <w:rPr>
          <w:sz w:val="28"/>
          <w:szCs w:val="28"/>
          <w:lang w:val="uk-UA"/>
        </w:rPr>
      </w:pPr>
      <w:r w:rsidRPr="00D45962">
        <w:rPr>
          <w:iCs/>
          <w:sz w:val="28"/>
          <w:szCs w:val="28"/>
          <w:lang w:val="uk-UA"/>
        </w:rPr>
        <w:tab/>
        <w:t xml:space="preserve">Ураховуючи вимоги Законів України «Про захист економічної конкуренції», «Про державну допомогу </w:t>
      </w:r>
      <w:proofErr w:type="spellStart"/>
      <w:r w:rsidRPr="00D45962">
        <w:rPr>
          <w:iCs/>
          <w:sz w:val="28"/>
          <w:szCs w:val="28"/>
          <w:lang w:val="uk-UA"/>
        </w:rPr>
        <w:t>суб</w:t>
      </w:r>
      <w:proofErr w:type="spellEnd"/>
      <w:r w:rsidRPr="00D45962">
        <w:rPr>
          <w:iCs/>
          <w:sz w:val="28"/>
          <w:szCs w:val="28"/>
        </w:rPr>
        <w:t>’</w:t>
      </w:r>
      <w:proofErr w:type="spellStart"/>
      <w:r w:rsidRPr="00D45962">
        <w:rPr>
          <w:iCs/>
          <w:sz w:val="28"/>
          <w:szCs w:val="28"/>
          <w:lang w:val="uk-UA"/>
        </w:rPr>
        <w:t>єктам</w:t>
      </w:r>
      <w:proofErr w:type="spellEnd"/>
      <w:r w:rsidRPr="00D45962">
        <w:rPr>
          <w:iCs/>
          <w:sz w:val="28"/>
          <w:szCs w:val="28"/>
          <w:lang w:val="uk-UA"/>
        </w:rPr>
        <w:t xml:space="preserve"> господарювання» та висновк</w:t>
      </w:r>
      <w:r w:rsidR="006175E7">
        <w:rPr>
          <w:iCs/>
          <w:sz w:val="28"/>
          <w:szCs w:val="28"/>
          <w:lang w:val="uk-UA"/>
        </w:rPr>
        <w:t>и</w:t>
      </w:r>
      <w:r w:rsidRPr="00D45962">
        <w:rPr>
          <w:iCs/>
          <w:sz w:val="28"/>
          <w:szCs w:val="28"/>
          <w:lang w:val="uk-UA"/>
        </w:rPr>
        <w:t xml:space="preserve"> Антимонопольного комітету України від 29 грудня 2020 року     №838-р «Про розгляд справи про державну допомогу», Південно-східного міжобласного територіального відділення Антимонопольного комітету України від 02.04.2021 №54-02/1211 «Про результати розгляду проекту рішення»,  </w:t>
      </w:r>
      <w:r w:rsidRPr="00D45962">
        <w:rPr>
          <w:sz w:val="28"/>
          <w:szCs w:val="28"/>
          <w:lang w:val="uk-UA"/>
        </w:rPr>
        <w:t>запропоновано ставки податку:</w:t>
      </w:r>
    </w:p>
    <w:p w:rsidR="00B8080F" w:rsidRPr="00D45962" w:rsidRDefault="00B8080F" w:rsidP="00B8080F">
      <w:pPr>
        <w:pStyle w:val="a3"/>
        <w:jc w:val="both"/>
        <w:rPr>
          <w:sz w:val="28"/>
          <w:szCs w:val="28"/>
          <w:shd w:val="clear" w:color="auto" w:fill="FFFFFF"/>
          <w:lang w:val="uk-UA"/>
        </w:rPr>
      </w:pPr>
      <w:r w:rsidRPr="00D45962">
        <w:rPr>
          <w:sz w:val="28"/>
          <w:szCs w:val="28"/>
          <w:lang w:val="uk-UA"/>
        </w:rPr>
        <w:tab/>
        <w:t>- для гуртожитків (код 113 «Гуртожитки») у розмірі 0%. Відповідно до підпункту 266.2.2 пункту 266.2 статті 266 Кодексу гуртожитки не є об’єктом оподаткування;</w:t>
      </w:r>
      <w:r w:rsidRPr="00D45962">
        <w:rPr>
          <w:i/>
          <w:sz w:val="28"/>
          <w:szCs w:val="28"/>
          <w:lang w:val="uk-UA"/>
        </w:rPr>
        <w:t xml:space="preserve"> </w:t>
      </w:r>
    </w:p>
    <w:p w:rsidR="00B8080F" w:rsidRPr="00D45962" w:rsidRDefault="00B8080F" w:rsidP="00B808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D45962">
        <w:rPr>
          <w:rFonts w:ascii="Times New Roman" w:hAnsi="Times New Roman" w:cs="Times New Roman"/>
          <w:sz w:val="28"/>
          <w:szCs w:val="28"/>
          <w:lang w:val="uk-UA"/>
        </w:rPr>
        <w:t xml:space="preserve">- для будівель архіву (код 1262.5 «Будівлі архіву») – 0,09%, 0,10%, 0,11%, </w:t>
      </w:r>
      <w:r w:rsidRPr="00D459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залежно від місця розташування (зональності) об’єктів. </w:t>
      </w:r>
      <w:r w:rsidRPr="00D45962">
        <w:rPr>
          <w:rFonts w:ascii="Times New Roman" w:hAnsi="Times New Roman" w:cs="Times New Roman"/>
          <w:sz w:val="28"/>
          <w:szCs w:val="28"/>
          <w:lang w:val="uk-UA"/>
        </w:rPr>
        <w:t xml:space="preserve">За даними Криворізьких управлінь ГУ ДПС у Дніпропетровській області (листи від 05.04.2020 №2080/9/04-36-57-40, 12.05.2020 №2135/9/04-36-56-50) </w:t>
      </w:r>
      <w:r w:rsidRPr="00D459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кодом класифікації будівель та споруд 1262.5 «Будівлі архівів» не обліковуються </w:t>
      </w:r>
      <w:r w:rsidRPr="00D45962">
        <w:rPr>
          <w:rFonts w:ascii="Times New Roman" w:hAnsi="Times New Roman" w:cs="Times New Roman"/>
          <w:sz w:val="28"/>
          <w:szCs w:val="28"/>
          <w:lang w:val="uk-UA"/>
        </w:rPr>
        <w:t>об’єкти нерухомості, що перебувають у приватній власності юридичних осіб;</w:t>
      </w:r>
      <w:r w:rsidRPr="00D4596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</w:p>
    <w:p w:rsidR="00B8080F" w:rsidRPr="00D45962" w:rsidRDefault="00B8080F" w:rsidP="00B8080F">
      <w:pPr>
        <w:pStyle w:val="a3"/>
        <w:jc w:val="both"/>
        <w:rPr>
          <w:i/>
          <w:sz w:val="28"/>
          <w:szCs w:val="28"/>
          <w:lang w:val="uk-UA" w:eastAsia="uk-UA"/>
        </w:rPr>
      </w:pPr>
      <w:r w:rsidRPr="00D45962">
        <w:rPr>
          <w:sz w:val="28"/>
          <w:szCs w:val="28"/>
          <w:lang w:val="uk-UA"/>
        </w:rPr>
        <w:tab/>
        <w:t>- для будівель житлових, що перебуває у власності юридичних осіб, у розмірі 0,210%, 0,200%, 0,190%;</w:t>
      </w:r>
    </w:p>
    <w:p w:rsidR="00B8080F" w:rsidRPr="00D45962" w:rsidRDefault="00B8080F" w:rsidP="00B808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D45962">
        <w:rPr>
          <w:sz w:val="28"/>
          <w:szCs w:val="28"/>
          <w:shd w:val="clear" w:color="auto" w:fill="FFFFFF"/>
          <w:lang w:val="uk-UA"/>
        </w:rPr>
        <w:t xml:space="preserve">- для будівель </w:t>
      </w:r>
      <w:r w:rsidRPr="00D45962">
        <w:rPr>
          <w:sz w:val="28"/>
          <w:szCs w:val="28"/>
          <w:lang w:val="uk-UA"/>
        </w:rPr>
        <w:t>метеорологічних станцій, обсерваторій (код 1263.8)                     у розмірі 0,49%, 0,50%, 0,51%</w:t>
      </w:r>
      <w:r w:rsidRPr="00D45962">
        <w:rPr>
          <w:iCs/>
          <w:sz w:val="28"/>
          <w:szCs w:val="28"/>
          <w:lang w:val="uk-UA"/>
        </w:rPr>
        <w:t xml:space="preserve"> залежно від місця розташування (</w:t>
      </w:r>
      <w:proofErr w:type="spellStart"/>
      <w:r w:rsidRPr="00D45962">
        <w:rPr>
          <w:iCs/>
          <w:sz w:val="28"/>
          <w:szCs w:val="28"/>
          <w:lang w:val="uk-UA"/>
        </w:rPr>
        <w:t>зональ</w:t>
      </w:r>
      <w:proofErr w:type="spellEnd"/>
      <w:r w:rsidRPr="00D45962">
        <w:rPr>
          <w:iCs/>
          <w:sz w:val="28"/>
          <w:szCs w:val="28"/>
          <w:lang w:val="uk-UA"/>
        </w:rPr>
        <w:t xml:space="preserve">-               </w:t>
      </w:r>
      <w:proofErr w:type="spellStart"/>
      <w:r w:rsidRPr="00D45962">
        <w:rPr>
          <w:iCs/>
          <w:sz w:val="28"/>
          <w:szCs w:val="28"/>
          <w:lang w:val="uk-UA"/>
        </w:rPr>
        <w:t>ності</w:t>
      </w:r>
      <w:proofErr w:type="spellEnd"/>
      <w:r w:rsidRPr="00D45962">
        <w:rPr>
          <w:iCs/>
          <w:sz w:val="28"/>
          <w:szCs w:val="28"/>
          <w:lang w:val="uk-UA"/>
        </w:rPr>
        <w:t>) об’єктів</w:t>
      </w:r>
      <w:r w:rsidRPr="00D45962">
        <w:rPr>
          <w:sz w:val="28"/>
          <w:szCs w:val="28"/>
          <w:lang w:val="uk-UA"/>
        </w:rPr>
        <w:t>. За даними Криворізьких управлінь ГУ ДПС у Дніпро-петровській області (листи від 04.05.2020 №2080/9/04-36-57-40, 12.05.2020 №2135/9/04-36-56-50) за вищезазначеними кодами</w:t>
      </w:r>
      <w:r w:rsidRPr="00D45962">
        <w:rPr>
          <w:i/>
          <w:sz w:val="28"/>
          <w:szCs w:val="28"/>
          <w:lang w:val="uk-UA"/>
        </w:rPr>
        <w:t xml:space="preserve"> </w:t>
      </w:r>
      <w:r w:rsidRPr="00D45962">
        <w:rPr>
          <w:sz w:val="28"/>
          <w:szCs w:val="28"/>
          <w:lang w:val="uk-UA"/>
        </w:rPr>
        <w:t xml:space="preserve">в місті не обліковуються об’єкти нерухомості, що перебувають у приватній власності юридичних осіб; </w:t>
      </w:r>
    </w:p>
    <w:p w:rsidR="00B8080F" w:rsidRPr="00D45962" w:rsidRDefault="00B8080F" w:rsidP="00B8080F">
      <w:pPr>
        <w:pStyle w:val="a9"/>
        <w:ind w:right="23"/>
        <w:rPr>
          <w:szCs w:val="28"/>
        </w:rPr>
      </w:pPr>
      <w:r w:rsidRPr="00D45962">
        <w:rPr>
          <w:szCs w:val="28"/>
          <w:lang w:eastAsia="uk-UA"/>
        </w:rPr>
        <w:tab/>
        <w:t xml:space="preserve">- для пам’яток історії та архітектури, меморіалів, археологічних розкопів (код 1273 «Пам’ятки історичні та такі, що охороняються державою»)  у розмірі 0,090%, 0,100%, 0,110% (на 2021 рік не визначено розмір ставки податку). </w:t>
      </w:r>
      <w:r w:rsidRPr="00D45962">
        <w:rPr>
          <w:szCs w:val="28"/>
          <w:shd w:val="clear" w:color="auto" w:fill="FFFFFF"/>
        </w:rPr>
        <w:t>У місті під статус пам’яток історії та архітектури</w:t>
      </w:r>
      <w:r w:rsidRPr="00D45962">
        <w:rPr>
          <w:szCs w:val="28"/>
        </w:rPr>
        <w:t xml:space="preserve"> підпадає будівля кінотеатру імені В.І. Леніна, що перебуває у власності культового закладу. Відповідно до вимог Кодексу вона не є об’єктом оподаткування.</w:t>
      </w:r>
    </w:p>
    <w:p w:rsidR="001E13FC" w:rsidRPr="00D45962" w:rsidRDefault="00B8080F" w:rsidP="00882E51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59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13FC"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Вартість за 1 кв. м нерухомості може змінюватися в разі зміни розміру мінімальної заробітної плати на законодавчому рівні (дані наведено в таблиці 3 аналізу регуляторного впливу проєкту регуляторного акта </w:t>
      </w:r>
      <w:r w:rsidR="00E80169"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1E13FC"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Криворізької міської ради «Про встановлення ставок податку на нерухоме майно, відмінне від земельної ділянки, у м. Кривому Розі»). </w:t>
      </w:r>
    </w:p>
    <w:p w:rsidR="001E13FC" w:rsidRDefault="001E13FC" w:rsidP="00B8080F">
      <w:pPr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Запропоновані розміри ставок податку </w:t>
      </w: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забезпечать </w:t>
      </w: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соціально важливих міських програм, фінансування бюджетної сфери в галузях освіти, охорони здоров’я, соціального захисту, житлово-комунального та дорожнього господарства, транспорту тощо. </w:t>
      </w:r>
    </w:p>
    <w:p w:rsidR="006175E7" w:rsidRDefault="006175E7" w:rsidP="00B8080F">
      <w:pPr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0425" w:rsidRPr="00D45962" w:rsidRDefault="00970425" w:rsidP="00970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D4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2</w:t>
      </w:r>
    </w:p>
    <w:p w:rsidR="005F5D50" w:rsidRPr="00D45962" w:rsidRDefault="005F5D50" w:rsidP="00B8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E13FC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грального бізнесу ставка податку не змінюється з 2019 року і в тому ж розмірі пропонується – 1,5% (описання в розділі І аналізу регуляторного впливу проєкту регуляторного акта </w:t>
      </w:r>
      <w:r w:rsidR="00E80169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E13FC"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Криворізької міської ради «Про </w:t>
      </w:r>
    </w:p>
    <w:p w:rsidR="001E13FC" w:rsidRPr="00D45962" w:rsidRDefault="001E13FC" w:rsidP="00B8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встановлення ставок податку на нерухоме майно, відмінне від земельної ділянки, у м. Кривому Розі»). </w:t>
      </w:r>
    </w:p>
    <w:p w:rsidR="00F61B38" w:rsidRPr="00D45962" w:rsidRDefault="001E13FC" w:rsidP="00B8080F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>Пом’якшувальними заходами</w:t>
      </w:r>
      <w:r w:rsidR="00E80169"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установлення ставок податку в</w:t>
      </w:r>
      <w:r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розмірі, </w:t>
      </w:r>
      <w:r w:rsidR="00E80169"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нижчим за максимально допустимий на законодавчому рівні (1,5%).</w:t>
      </w:r>
    </w:p>
    <w:p w:rsidR="00F61B38" w:rsidRPr="00D45962" w:rsidRDefault="00F61B38" w:rsidP="00B8080F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61B38" w:rsidRPr="00D45962" w:rsidRDefault="00F61B38" w:rsidP="000427F7">
      <w:pPr>
        <w:spacing w:after="0" w:line="233" w:lineRule="auto"/>
        <w:ind w:left="23" w:right="23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61B38" w:rsidRPr="00D45962" w:rsidRDefault="00F61B38" w:rsidP="000427F7">
      <w:pPr>
        <w:spacing w:after="0" w:line="233" w:lineRule="auto"/>
        <w:ind w:left="23" w:right="23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61B38" w:rsidRPr="00D45962" w:rsidRDefault="00F61B38" w:rsidP="000427F7">
      <w:pPr>
        <w:spacing w:after="0" w:line="233" w:lineRule="auto"/>
        <w:ind w:left="23" w:right="23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E13FC" w:rsidRDefault="001E13FC" w:rsidP="000427F7">
      <w:pPr>
        <w:spacing w:after="0" w:line="233" w:lineRule="auto"/>
        <w:ind w:left="23" w:right="23" w:firstLine="69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45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59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4596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_______________________________</w:t>
      </w:r>
    </w:p>
    <w:p w:rsidR="00F61B38" w:rsidRDefault="00F61B38" w:rsidP="000427F7">
      <w:pPr>
        <w:spacing w:after="0" w:line="233" w:lineRule="auto"/>
        <w:ind w:left="23" w:right="23" w:firstLine="69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F61B38" w:rsidRDefault="00F61B38" w:rsidP="000427F7">
      <w:pPr>
        <w:spacing w:after="0" w:line="233" w:lineRule="auto"/>
        <w:ind w:left="23" w:right="23" w:firstLine="69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F61B38" w:rsidRPr="00E80169" w:rsidRDefault="00F61B38" w:rsidP="000427F7">
      <w:pPr>
        <w:spacing w:after="0" w:line="233" w:lineRule="auto"/>
        <w:ind w:left="23" w:right="23" w:firstLine="69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1E13FC" w:rsidRPr="00E80169" w:rsidRDefault="001E13FC" w:rsidP="001E13FC">
      <w:pPr>
        <w:spacing w:after="0" w:line="25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E13FC" w:rsidRPr="00E80169" w:rsidRDefault="001E13FC" w:rsidP="001E13FC">
      <w:pPr>
        <w:spacing w:after="0" w:line="25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E76A3" w:rsidRPr="00E80169" w:rsidRDefault="00CE76A3">
      <w:pPr>
        <w:rPr>
          <w:lang w:val="uk-UA"/>
        </w:rPr>
      </w:pPr>
    </w:p>
    <w:sectPr w:rsidR="00CE76A3" w:rsidRPr="00E80169" w:rsidSect="001B74A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7B" w:rsidRDefault="00AB5E7B">
      <w:pPr>
        <w:spacing w:after="0" w:line="240" w:lineRule="auto"/>
      </w:pPr>
      <w:r>
        <w:separator/>
      </w:r>
    </w:p>
  </w:endnote>
  <w:endnote w:type="continuationSeparator" w:id="0">
    <w:p w:rsidR="00AB5E7B" w:rsidRDefault="00AB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7B" w:rsidRDefault="00AB5E7B">
      <w:pPr>
        <w:spacing w:after="0" w:line="240" w:lineRule="auto"/>
      </w:pPr>
      <w:r>
        <w:separator/>
      </w:r>
    </w:p>
  </w:footnote>
  <w:footnote w:type="continuationSeparator" w:id="0">
    <w:p w:rsidR="00AB5E7B" w:rsidRDefault="00AB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49" w:rsidRPr="00AC2C96" w:rsidRDefault="001E13FC" w:rsidP="00AC2C96">
    <w:pPr>
      <w:pStyle w:val="a3"/>
      <w:jc w:val="center"/>
      <w:rPr>
        <w:sz w:val="24"/>
        <w:szCs w:val="24"/>
        <w:lang w:val="uk-UA"/>
      </w:rPr>
    </w:pPr>
    <w:r w:rsidRPr="00AC2C96">
      <w:rPr>
        <w:sz w:val="24"/>
        <w:szCs w:val="24"/>
      </w:rPr>
      <w:fldChar w:fldCharType="begin"/>
    </w:r>
    <w:r w:rsidRPr="00AC2C96">
      <w:rPr>
        <w:sz w:val="24"/>
        <w:szCs w:val="24"/>
      </w:rPr>
      <w:instrText>PAGE   \* MERGEFORMAT</w:instrText>
    </w:r>
    <w:r w:rsidRPr="00AC2C96">
      <w:rPr>
        <w:sz w:val="24"/>
        <w:szCs w:val="24"/>
      </w:rPr>
      <w:fldChar w:fldCharType="separate"/>
    </w:r>
    <w:r w:rsidR="0053623C">
      <w:rPr>
        <w:noProof/>
        <w:sz w:val="24"/>
        <w:szCs w:val="24"/>
      </w:rPr>
      <w:t>6</w:t>
    </w:r>
    <w:r w:rsidRPr="00AC2C9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351CD"/>
    <w:multiLevelType w:val="hybridMultilevel"/>
    <w:tmpl w:val="DF58B5B2"/>
    <w:lvl w:ilvl="0" w:tplc="DCEE4EF8">
      <w:start w:val="119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FD"/>
    <w:rsid w:val="00012590"/>
    <w:rsid w:val="000170D3"/>
    <w:rsid w:val="000427F7"/>
    <w:rsid w:val="00043AAF"/>
    <w:rsid w:val="00067E76"/>
    <w:rsid w:val="000754CB"/>
    <w:rsid w:val="000C6246"/>
    <w:rsid w:val="000E2F5C"/>
    <w:rsid w:val="00135B49"/>
    <w:rsid w:val="001E13FC"/>
    <w:rsid w:val="0024168F"/>
    <w:rsid w:val="002E6DFD"/>
    <w:rsid w:val="0035073D"/>
    <w:rsid w:val="003653B0"/>
    <w:rsid w:val="004104FE"/>
    <w:rsid w:val="004C2A8F"/>
    <w:rsid w:val="004E51AC"/>
    <w:rsid w:val="004F54FF"/>
    <w:rsid w:val="0053623C"/>
    <w:rsid w:val="00560665"/>
    <w:rsid w:val="0057257E"/>
    <w:rsid w:val="00577259"/>
    <w:rsid w:val="00590ED8"/>
    <w:rsid w:val="005F5D50"/>
    <w:rsid w:val="005F6D61"/>
    <w:rsid w:val="006175E7"/>
    <w:rsid w:val="006C19A6"/>
    <w:rsid w:val="006E7A92"/>
    <w:rsid w:val="00745D85"/>
    <w:rsid w:val="007A2412"/>
    <w:rsid w:val="007D0BE1"/>
    <w:rsid w:val="007E6076"/>
    <w:rsid w:val="00825D92"/>
    <w:rsid w:val="00882E51"/>
    <w:rsid w:val="008A411D"/>
    <w:rsid w:val="008D4816"/>
    <w:rsid w:val="008E5E80"/>
    <w:rsid w:val="008F701E"/>
    <w:rsid w:val="00902EA7"/>
    <w:rsid w:val="00940025"/>
    <w:rsid w:val="00970425"/>
    <w:rsid w:val="0097488C"/>
    <w:rsid w:val="009B577D"/>
    <w:rsid w:val="009C1E96"/>
    <w:rsid w:val="00A036CA"/>
    <w:rsid w:val="00A32609"/>
    <w:rsid w:val="00AA6615"/>
    <w:rsid w:val="00AB5E7B"/>
    <w:rsid w:val="00AC61A5"/>
    <w:rsid w:val="00AD30AC"/>
    <w:rsid w:val="00AF29F4"/>
    <w:rsid w:val="00B670F5"/>
    <w:rsid w:val="00B8080F"/>
    <w:rsid w:val="00B872D1"/>
    <w:rsid w:val="00BE4DED"/>
    <w:rsid w:val="00BE7A09"/>
    <w:rsid w:val="00BF6AA5"/>
    <w:rsid w:val="00C84A64"/>
    <w:rsid w:val="00CE76A3"/>
    <w:rsid w:val="00D45962"/>
    <w:rsid w:val="00D60AFC"/>
    <w:rsid w:val="00D81C79"/>
    <w:rsid w:val="00DD7267"/>
    <w:rsid w:val="00DE24A5"/>
    <w:rsid w:val="00DE4AA7"/>
    <w:rsid w:val="00DF5870"/>
    <w:rsid w:val="00E471F9"/>
    <w:rsid w:val="00E80169"/>
    <w:rsid w:val="00EB6F62"/>
    <w:rsid w:val="00EC2B37"/>
    <w:rsid w:val="00EF17AB"/>
    <w:rsid w:val="00F453AF"/>
    <w:rsid w:val="00F526AE"/>
    <w:rsid w:val="00F61B38"/>
    <w:rsid w:val="00F82BAC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E1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1E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6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3AF"/>
    <w:pPr>
      <w:ind w:left="720"/>
      <w:contextualSpacing/>
    </w:pPr>
  </w:style>
  <w:style w:type="character" w:customStyle="1" w:styleId="2">
    <w:name w:val="Основной текст (2) + Не полужирный"/>
    <w:rsid w:val="00BF6AA5"/>
  </w:style>
  <w:style w:type="character" w:styleId="a8">
    <w:name w:val="Hyperlink"/>
    <w:rsid w:val="00067E76"/>
    <w:rPr>
      <w:color w:val="0000FF"/>
      <w:u w:val="single"/>
    </w:rPr>
  </w:style>
  <w:style w:type="paragraph" w:styleId="a9">
    <w:name w:val="Body Text"/>
    <w:basedOn w:val="a"/>
    <w:link w:val="1"/>
    <w:rsid w:val="00067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uiPriority w:val="99"/>
    <w:semiHidden/>
    <w:rsid w:val="00067E76"/>
  </w:style>
  <w:style w:type="character" w:customStyle="1" w:styleId="1">
    <w:name w:val="Основной текст Знак1"/>
    <w:link w:val="a9"/>
    <w:locked/>
    <w:rsid w:val="00067E7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06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B808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E1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1E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6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3AF"/>
    <w:pPr>
      <w:ind w:left="720"/>
      <w:contextualSpacing/>
    </w:pPr>
  </w:style>
  <w:style w:type="character" w:customStyle="1" w:styleId="2">
    <w:name w:val="Основной текст (2) + Не полужирный"/>
    <w:rsid w:val="00BF6AA5"/>
  </w:style>
  <w:style w:type="character" w:styleId="a8">
    <w:name w:val="Hyperlink"/>
    <w:rsid w:val="00067E76"/>
    <w:rPr>
      <w:color w:val="0000FF"/>
      <w:u w:val="single"/>
    </w:rPr>
  </w:style>
  <w:style w:type="paragraph" w:styleId="a9">
    <w:name w:val="Body Text"/>
    <w:basedOn w:val="a"/>
    <w:link w:val="1"/>
    <w:rsid w:val="00067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uiPriority w:val="99"/>
    <w:semiHidden/>
    <w:rsid w:val="00067E76"/>
  </w:style>
  <w:style w:type="character" w:customStyle="1" w:styleId="1">
    <w:name w:val="Основной текст Знак1"/>
    <w:link w:val="a9"/>
    <w:locked/>
    <w:rsid w:val="00067E7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06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B808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ECCB-2622-43E5-8593-1C192A61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trade508</dc:creator>
  <cp:lastModifiedBy>trade508</cp:lastModifiedBy>
  <cp:revision>7</cp:revision>
  <cp:lastPrinted>2021-05-21T05:44:00Z</cp:lastPrinted>
  <dcterms:created xsi:type="dcterms:W3CDTF">2021-05-20T14:32:00Z</dcterms:created>
  <dcterms:modified xsi:type="dcterms:W3CDTF">2021-05-21T05:45:00Z</dcterms:modified>
</cp:coreProperties>
</file>