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5939D7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5939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5939D7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939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5939D7" w:rsidRDefault="005939D7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939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30.06.2021 №576</w:t>
      </w:r>
    </w:p>
    <w:p w:rsidR="003A7329" w:rsidRPr="005939D7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5939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3F01E8" w:rsidRPr="005939D7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5939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5F768A" w:rsidRPr="005939D7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53154F" w:rsidRPr="005939D7" w:rsidTr="001A582A">
        <w:tc>
          <w:tcPr>
            <w:tcW w:w="709" w:type="dxa"/>
          </w:tcPr>
          <w:p w:rsidR="0053154F" w:rsidRPr="005939D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>№ п/</w:t>
            </w:r>
            <w:proofErr w:type="spellStart"/>
            <w:r w:rsidRPr="005939D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53154F" w:rsidRPr="005939D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>Суб’єкт</w:t>
            </w:r>
          </w:p>
          <w:p w:rsidR="0053154F" w:rsidRPr="005939D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53154F" w:rsidRPr="005939D7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 xml:space="preserve">Послуга, адреса та вид </w:t>
            </w:r>
          </w:p>
          <w:p w:rsidR="0053154F" w:rsidRPr="005939D7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 xml:space="preserve">використання земельної </w:t>
            </w:r>
          </w:p>
          <w:p w:rsidR="0053154F" w:rsidRPr="005939D7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>ділянки</w:t>
            </w:r>
          </w:p>
        </w:tc>
        <w:tc>
          <w:tcPr>
            <w:tcW w:w="2268" w:type="dxa"/>
          </w:tcPr>
          <w:p w:rsidR="0053154F" w:rsidRPr="005939D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939D7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5939D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939D7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5939D7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939D7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5939D7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939D7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5939D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939D7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53154F" w:rsidRPr="005939D7" w:rsidTr="001A582A">
        <w:tc>
          <w:tcPr>
            <w:tcW w:w="709" w:type="dxa"/>
          </w:tcPr>
          <w:p w:rsidR="0053154F" w:rsidRPr="005939D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53154F" w:rsidRPr="005939D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154F" w:rsidRPr="005939D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154F" w:rsidRPr="005939D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939D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154F" w:rsidRPr="005939D7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939D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3154F" w:rsidRPr="005939D7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939D7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53154F" w:rsidRPr="005939D7" w:rsidTr="001A582A">
        <w:trPr>
          <w:trHeight w:val="274"/>
        </w:trPr>
        <w:tc>
          <w:tcPr>
            <w:tcW w:w="709" w:type="dxa"/>
          </w:tcPr>
          <w:p w:rsidR="0053154F" w:rsidRPr="005939D7" w:rsidRDefault="0053154F" w:rsidP="00D8219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1A582A" w:rsidRPr="005939D7" w:rsidRDefault="0053154F" w:rsidP="0024328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Садівниче </w:t>
            </w:r>
          </w:p>
          <w:p w:rsidR="001A582A" w:rsidRPr="005939D7" w:rsidRDefault="0053154F" w:rsidP="0024328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товариство </w:t>
            </w:r>
          </w:p>
          <w:p w:rsidR="0053154F" w:rsidRPr="005939D7" w:rsidRDefault="0053154F" w:rsidP="0024328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«Вітерець»</w:t>
            </w:r>
          </w:p>
        </w:tc>
        <w:tc>
          <w:tcPr>
            <w:tcW w:w="2977" w:type="dxa"/>
          </w:tcPr>
          <w:p w:rsidR="0053154F" w:rsidRPr="005939D7" w:rsidRDefault="0053154F" w:rsidP="009007DB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53154F" w:rsidRPr="005939D7" w:rsidRDefault="0053154F" w:rsidP="009007DB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53154F" w:rsidRPr="005939D7" w:rsidRDefault="0053154F" w:rsidP="009007DB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я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нам у власність земельних ділянок для будівництва та обслуговування житлового будинку, господарських будівель і споруд (прис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дибна ділянка), ведення садівництва, будівництва індивідуального гаража»</w:t>
            </w:r>
          </w:p>
          <w:p w:rsidR="006B7163" w:rsidRPr="005939D7" w:rsidRDefault="0053154F" w:rsidP="00C551CD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(земельна ділянка в </w:t>
            </w:r>
          </w:p>
          <w:p w:rsidR="006B7163" w:rsidRPr="005939D7" w:rsidRDefault="0053154F" w:rsidP="00C551CD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Садівничому товаристві «Вітерець» у Центрально-Міському районі, для </w:t>
            </w:r>
          </w:p>
          <w:p w:rsidR="006B7163" w:rsidRPr="005939D7" w:rsidRDefault="0053154F" w:rsidP="00C551CD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земель загального</w:t>
            </w:r>
          </w:p>
          <w:p w:rsidR="0053154F" w:rsidRPr="005939D7" w:rsidRDefault="0053154F" w:rsidP="00C551CD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користування)</w:t>
            </w:r>
          </w:p>
        </w:tc>
        <w:tc>
          <w:tcPr>
            <w:tcW w:w="2268" w:type="dxa"/>
          </w:tcPr>
          <w:p w:rsidR="006B7163" w:rsidRPr="005939D7" w:rsidRDefault="0053154F" w:rsidP="009007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документів,</w:t>
            </w:r>
            <w:r w:rsidRPr="005939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гам чинного </w:t>
            </w:r>
          </w:p>
          <w:p w:rsidR="0053154F" w:rsidRPr="005939D7" w:rsidRDefault="0053154F" w:rsidP="009007DB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законодавства</w:t>
            </w:r>
          </w:p>
          <w:p w:rsidR="0053154F" w:rsidRPr="005939D7" w:rsidRDefault="0053154F" w:rsidP="00243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A582A" w:rsidRPr="005939D7" w:rsidRDefault="001A582A" w:rsidP="00B852FA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Надійшло</w:t>
            </w:r>
          </w:p>
          <w:p w:rsidR="00B852FA" w:rsidRPr="005939D7" w:rsidRDefault="001A582A" w:rsidP="00B852FA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</w:t>
            </w:r>
            <w:r w:rsidR="00B852FA"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овим</w:t>
            </w:r>
          </w:p>
          <w:p w:rsidR="0053154F" w:rsidRPr="005939D7" w:rsidRDefault="00B852FA" w:rsidP="00B852FA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53154F" w:rsidRPr="005939D7" w:rsidRDefault="0053154F" w:rsidP="009007DB">
            <w:pPr>
              <w:ind w:left="-70" w:right="-7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1. Відповідно до п. 4 ст. 35 Земельного кодексу України землі загального користування садівнич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го товариства безоплатно передаються йому у вл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сність за клопотанням вищого органу управління товариства до органу місцевого самоврядування. Згідно з підп. 4.1  статуту Садівничого товариства «Вітерець» органом управління товариства  є заг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льні збори членів (збори уповноважених) товари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тва. У наданих на розгляд документах відсутній протокол загальних зборів щодо надання земельної ділянки у власність.</w:t>
            </w:r>
          </w:p>
          <w:p w:rsidR="0053154F" w:rsidRPr="005939D7" w:rsidRDefault="0053154F" w:rsidP="00B36D69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5939D7">
              <w:rPr>
                <w:rStyle w:val="rvts0"/>
                <w:lang w:val="uk-UA"/>
              </w:rPr>
              <w:t xml:space="preserve">2. </w:t>
            </w:r>
            <w:r w:rsidRPr="005939D7">
              <w:rPr>
                <w:bCs/>
                <w:lang w:val="uk-UA"/>
              </w:rPr>
              <w:t xml:space="preserve">Відповідно до вимог п. 11 </w:t>
            </w:r>
            <w:r w:rsidRPr="005939D7">
              <w:rPr>
                <w:lang w:val="uk-UA"/>
              </w:rPr>
              <w:t xml:space="preserve"> </w:t>
            </w:r>
            <w:r w:rsidRPr="005939D7">
              <w:rPr>
                <w:bCs/>
                <w:lang w:val="uk-UA"/>
              </w:rPr>
              <w:t>Постанови Кабінету Міністрів України від   01 серпня 2006 року №1045 «Про затвердження Порядку видалення дерев, кущів, газонів і квітників у населених  п</w:t>
            </w:r>
            <w:r w:rsidRPr="005939D7">
              <w:rPr>
                <w:bCs/>
                <w:lang w:val="uk-UA"/>
              </w:rPr>
              <w:t>у</w:t>
            </w:r>
            <w:r w:rsidRPr="005939D7">
              <w:rPr>
                <w:bCs/>
                <w:lang w:val="uk-UA"/>
              </w:rPr>
              <w:t xml:space="preserve">нктах» </w:t>
            </w:r>
            <w:r w:rsidRPr="005939D7">
              <w:rPr>
                <w:shd w:val="clear" w:color="auto" w:fill="FFFFFF"/>
                <w:lang w:val="uk-UA"/>
              </w:rPr>
              <w:t>відновна вартість зелених насаджень, ро</w:t>
            </w:r>
            <w:r w:rsidRPr="005939D7">
              <w:rPr>
                <w:shd w:val="clear" w:color="auto" w:fill="FFFFFF"/>
                <w:lang w:val="uk-UA"/>
              </w:rPr>
              <w:t>з</w:t>
            </w:r>
            <w:r w:rsidRPr="005939D7">
              <w:rPr>
                <w:shd w:val="clear" w:color="auto" w:fill="FFFFFF"/>
                <w:lang w:val="uk-UA"/>
              </w:rPr>
              <w:t>ташованих на земельній ділянці, що відведена в установленому порядку фізичній або юридичній особі (крім відновної вартості зелених насаджень, посаджених (створених) цією особою), сплач</w:t>
            </w:r>
            <w:r w:rsidRPr="005939D7">
              <w:rPr>
                <w:shd w:val="clear" w:color="auto" w:fill="FFFFFF"/>
                <w:lang w:val="uk-UA"/>
              </w:rPr>
              <w:t>у</w:t>
            </w:r>
            <w:r w:rsidRPr="005939D7">
              <w:rPr>
                <w:shd w:val="clear" w:color="auto" w:fill="FFFFFF"/>
                <w:lang w:val="uk-UA"/>
              </w:rPr>
              <w:t>ється під час передачі такої ділянки у власність відповідної особи.</w:t>
            </w:r>
            <w:r w:rsidRPr="005939D7">
              <w:rPr>
                <w:bCs/>
                <w:lang w:val="uk-UA"/>
              </w:rPr>
              <w:t xml:space="preserve"> У наданих  на  розгляд  док</w:t>
            </w:r>
            <w:r w:rsidRPr="005939D7">
              <w:rPr>
                <w:bCs/>
                <w:lang w:val="uk-UA"/>
              </w:rPr>
              <w:t>у</w:t>
            </w:r>
            <w:r w:rsidRPr="005939D7">
              <w:rPr>
                <w:bCs/>
                <w:lang w:val="uk-UA"/>
              </w:rPr>
              <w:t>ментах  відсутній  акт  обстеження  зелених  н</w:t>
            </w:r>
            <w:r w:rsidRPr="005939D7">
              <w:rPr>
                <w:bCs/>
                <w:lang w:val="uk-UA"/>
              </w:rPr>
              <w:t>а</w:t>
            </w:r>
            <w:r w:rsidRPr="005939D7">
              <w:rPr>
                <w:bCs/>
                <w:lang w:val="uk-UA"/>
              </w:rPr>
              <w:t>саджень  та  документ,  що  підтверджує здій</w:t>
            </w:r>
            <w:r w:rsidRPr="005939D7">
              <w:rPr>
                <w:bCs/>
                <w:lang w:val="uk-UA"/>
              </w:rPr>
              <w:t>с</w:t>
            </w:r>
            <w:r w:rsidRPr="005939D7">
              <w:rPr>
                <w:bCs/>
                <w:lang w:val="uk-UA"/>
              </w:rPr>
              <w:t xml:space="preserve">нення  сплати  відновної  вартості </w:t>
            </w:r>
            <w:r w:rsidR="005C3375" w:rsidRPr="005939D7">
              <w:rPr>
                <w:bCs/>
                <w:lang w:val="uk-UA"/>
              </w:rPr>
              <w:t xml:space="preserve"> зелених нас</w:t>
            </w:r>
            <w:r w:rsidR="005C3375" w:rsidRPr="005939D7">
              <w:rPr>
                <w:bCs/>
                <w:lang w:val="uk-UA"/>
              </w:rPr>
              <w:t>а</w:t>
            </w:r>
            <w:r w:rsidR="005C3375" w:rsidRPr="005939D7">
              <w:rPr>
                <w:bCs/>
                <w:lang w:val="uk-UA"/>
              </w:rPr>
              <w:t>джень, розташованих на земельній ділянці, або що вони  посаджені членами садівничого товар</w:t>
            </w:r>
            <w:r w:rsidR="005C3375" w:rsidRPr="005939D7">
              <w:rPr>
                <w:bCs/>
                <w:lang w:val="uk-UA"/>
              </w:rPr>
              <w:t>и</w:t>
            </w:r>
            <w:r w:rsidR="005C3375" w:rsidRPr="005939D7">
              <w:rPr>
                <w:bCs/>
                <w:lang w:val="uk-UA"/>
              </w:rPr>
              <w:t xml:space="preserve">ства </w:t>
            </w:r>
            <w:r w:rsidRPr="005939D7">
              <w:rPr>
                <w:bCs/>
                <w:lang w:val="uk-UA"/>
              </w:rPr>
              <w:t xml:space="preserve"> </w:t>
            </w:r>
          </w:p>
        </w:tc>
      </w:tr>
      <w:tr w:rsidR="0053154F" w:rsidRPr="005939D7" w:rsidTr="001A582A">
        <w:trPr>
          <w:trHeight w:val="274"/>
        </w:trPr>
        <w:tc>
          <w:tcPr>
            <w:tcW w:w="709" w:type="dxa"/>
          </w:tcPr>
          <w:p w:rsidR="0053154F" w:rsidRPr="005939D7" w:rsidRDefault="0053154F" w:rsidP="00EB4F7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53154F" w:rsidRPr="005939D7" w:rsidRDefault="0053154F" w:rsidP="00EB4F7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</w:tcPr>
          <w:p w:rsidR="0053154F" w:rsidRPr="005939D7" w:rsidRDefault="0053154F" w:rsidP="00EB4F7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2268" w:type="dxa"/>
          </w:tcPr>
          <w:p w:rsidR="0053154F" w:rsidRPr="005939D7" w:rsidRDefault="0053154F" w:rsidP="00EB4F7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53154F" w:rsidRPr="005939D7" w:rsidRDefault="005C3375" w:rsidP="00EB4F7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53154F" w:rsidRPr="005939D7" w:rsidRDefault="005C3375" w:rsidP="00EB4F7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53154F" w:rsidRPr="005939D7" w:rsidTr="001A582A">
        <w:trPr>
          <w:trHeight w:val="416"/>
        </w:trPr>
        <w:tc>
          <w:tcPr>
            <w:tcW w:w="709" w:type="dxa"/>
          </w:tcPr>
          <w:p w:rsidR="0053154F" w:rsidRPr="005939D7" w:rsidRDefault="0053154F" w:rsidP="0024328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53154F" w:rsidRPr="005939D7" w:rsidRDefault="0053154F" w:rsidP="0024328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Лях Тетяна </w:t>
            </w:r>
          </w:p>
          <w:p w:rsidR="0053154F" w:rsidRPr="005939D7" w:rsidRDefault="0053154F" w:rsidP="0024328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Володимирівна</w:t>
            </w:r>
          </w:p>
        </w:tc>
        <w:tc>
          <w:tcPr>
            <w:tcW w:w="2977" w:type="dxa"/>
          </w:tcPr>
          <w:p w:rsidR="0053154F" w:rsidRPr="005939D7" w:rsidRDefault="0053154F" w:rsidP="006B5DAE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53154F" w:rsidRPr="005939D7" w:rsidRDefault="0053154F" w:rsidP="006B5DAE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послуга №4</w:t>
            </w:r>
          </w:p>
          <w:p w:rsidR="0053154F" w:rsidRPr="005939D7" w:rsidRDefault="0053154F" w:rsidP="006B5DAE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«Видача рішення міської ради про надання громад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я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нам у власність земельних ділянок для будівництва та обслуговування житлового будинку, господарських будівель і споруд (прис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дибна ділянка), ведення садівництва, будівництва індивідуального гаража»</w:t>
            </w:r>
          </w:p>
          <w:p w:rsidR="0053154F" w:rsidRPr="005939D7" w:rsidRDefault="0053154F" w:rsidP="006B5DAE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(земельна ділянка в Саді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в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ничому товаристві «Юв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і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лейний.» у Покровському районі, для ведення саді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в</w:t>
            </w:r>
            <w:r w:rsidRPr="005939D7">
              <w:rPr>
                <w:rFonts w:ascii="Times New Roman" w:hAnsi="Times New Roman"/>
                <w:sz w:val="23"/>
                <w:szCs w:val="23"/>
                <w:lang w:val="uk-UA"/>
              </w:rPr>
              <w:t>ництва)</w:t>
            </w:r>
          </w:p>
        </w:tc>
        <w:tc>
          <w:tcPr>
            <w:tcW w:w="2268" w:type="dxa"/>
          </w:tcPr>
          <w:p w:rsidR="0053154F" w:rsidRPr="005939D7" w:rsidRDefault="0053154F" w:rsidP="006B5DAE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Надання неповного пакета документів, 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нодавства, вия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лення недостові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них відомостей у поданих докуме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тах</w:t>
            </w:r>
          </w:p>
          <w:p w:rsidR="0053154F" w:rsidRPr="005939D7" w:rsidRDefault="0053154F" w:rsidP="009007DB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559" w:type="dxa"/>
          </w:tcPr>
          <w:p w:rsidR="00D018C3" w:rsidRPr="005939D7" w:rsidRDefault="005C3375" w:rsidP="00C2679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ром</w:t>
            </w:r>
            <w:r w:rsidR="00C26793"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Центру </w:t>
            </w:r>
          </w:p>
          <w:p w:rsidR="00530E48" w:rsidRPr="005939D7" w:rsidRDefault="00C26793" w:rsidP="00C2679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</w:t>
            </w:r>
          </w:p>
          <w:p w:rsidR="0053154F" w:rsidRPr="005939D7" w:rsidRDefault="00530E48" w:rsidP="00C2679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53154F" w:rsidRPr="005939D7" w:rsidRDefault="0053154F" w:rsidP="006B5DAE">
            <w:pPr>
              <w:ind w:left="-70" w:right="-70"/>
              <w:jc w:val="both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1. Відповідно до вимог п. 11 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Постанови Кабінету Міністрів України від 01 серпня 2006 року №1045 «Про затвердження Порядку видалення дерев, кущів, газонів і квітників у населених  пунктах» 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відновна вартість зелених насаджень, розташов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них на земельній ділянці, що відведена в устано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леному порядку фізичній або юридичній особі (крім відновної вартості зелених насаджень, пос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джених (створених) цією особою), сплачується під час передачі такої ділянки у власність відповідної особи.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У наданих  на  розгляд  документах назва садівничого товариства в акті  обстеження  зелених  насаджень (Садівниче товариство «Ювілейний») не відповідає назві садівничого товариства в ро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робленому проекті землеустрою (Садівниче тов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риство «Ювілейний.»).</w:t>
            </w:r>
          </w:p>
          <w:p w:rsidR="0053154F" w:rsidRPr="005939D7" w:rsidRDefault="0053154F" w:rsidP="00F84D89">
            <w:pPr>
              <w:ind w:left="-70" w:right="-70"/>
              <w:jc w:val="both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2. З приводу питання звернення ухвалене рішення міської ради від 23.12.2020 №68 «Про відмову в наданні у власність і користування земельних </w:t>
            </w:r>
            <w:r w:rsidR="006D0578"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ділянок»</w:t>
            </w:r>
          </w:p>
          <w:p w:rsidR="0053154F" w:rsidRPr="005939D7" w:rsidRDefault="0053154F" w:rsidP="00F84D89">
            <w:pPr>
              <w:ind w:left="-70" w:right="-70"/>
              <w:jc w:val="both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3154F" w:rsidRPr="005939D7" w:rsidTr="001A582A">
        <w:trPr>
          <w:trHeight w:val="416"/>
        </w:trPr>
        <w:tc>
          <w:tcPr>
            <w:tcW w:w="709" w:type="dxa"/>
          </w:tcPr>
          <w:p w:rsidR="0053154F" w:rsidRPr="005939D7" w:rsidRDefault="0053154F" w:rsidP="0024328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53154F" w:rsidRPr="005939D7" w:rsidRDefault="0053154F" w:rsidP="00243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53154F" w:rsidRPr="005939D7" w:rsidRDefault="0053154F" w:rsidP="00243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Гоптарєва</w:t>
            </w:r>
            <w:proofErr w:type="spellEnd"/>
          </w:p>
          <w:p w:rsidR="0053154F" w:rsidRPr="005939D7" w:rsidRDefault="0053154F" w:rsidP="00243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:rsidR="0053154F" w:rsidRPr="005939D7" w:rsidRDefault="0053154F" w:rsidP="0024328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2977" w:type="dxa"/>
          </w:tcPr>
          <w:p w:rsidR="0053154F" w:rsidRPr="005939D7" w:rsidRDefault="0053154F" w:rsidP="001A73A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53154F" w:rsidRPr="005939D7" w:rsidRDefault="0053154F" w:rsidP="001A73A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53154F" w:rsidRPr="005939D7" w:rsidRDefault="0053154F" w:rsidP="006B7163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міської ради про надання в оренду земельних ділянок, що перебувають у 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власності»</w:t>
            </w:r>
            <w:r w:rsidR="006B7163"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 вул. Георга </w:t>
            </w: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Отса</w:t>
            </w:r>
            <w:proofErr w:type="spellEnd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18г у Покровському районі, для розміщення кафе «Бістро»)</w:t>
            </w:r>
          </w:p>
        </w:tc>
        <w:tc>
          <w:tcPr>
            <w:tcW w:w="2268" w:type="dxa"/>
          </w:tcPr>
          <w:p w:rsidR="0053154F" w:rsidRPr="005939D7" w:rsidRDefault="0053154F" w:rsidP="004115B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D018C3" w:rsidRPr="005939D7" w:rsidRDefault="00D018C3" w:rsidP="00D018C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Надійшло</w:t>
            </w:r>
          </w:p>
          <w:p w:rsidR="00D018C3" w:rsidRPr="005939D7" w:rsidRDefault="00D018C3" w:rsidP="00D018C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поштовим</w:t>
            </w:r>
          </w:p>
          <w:p w:rsidR="0053154F" w:rsidRPr="005939D7" w:rsidRDefault="00D018C3" w:rsidP="00D018C3">
            <w:pPr>
              <w:ind w:left="-70" w:right="-70"/>
              <w:jc w:val="center"/>
              <w:rPr>
                <w:rStyle w:val="FontStyle17"/>
                <w:lang w:val="uk-UA" w:eastAsia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53154F" w:rsidRPr="005939D7" w:rsidRDefault="0053154F" w:rsidP="006B5DAE">
            <w:pPr>
              <w:ind w:left="-70" w:right="-7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Style w:val="FontStyle17"/>
                <w:lang w:val="uk-UA" w:eastAsia="uk-UA"/>
              </w:rPr>
              <w:t>Відповідно до актуальної інформації з Державного реєстру речових прав на нерухоме  майно, на зем</w:t>
            </w:r>
            <w:r w:rsidRPr="005939D7">
              <w:rPr>
                <w:rStyle w:val="FontStyle17"/>
                <w:lang w:val="uk-UA" w:eastAsia="uk-UA"/>
              </w:rPr>
              <w:t>е</w:t>
            </w:r>
            <w:r w:rsidRPr="005939D7">
              <w:rPr>
                <w:rStyle w:val="FontStyle17"/>
                <w:lang w:val="uk-UA" w:eastAsia="uk-UA"/>
              </w:rPr>
              <w:t xml:space="preserve">льній ділянці на вул. Георга </w:t>
            </w:r>
            <w:proofErr w:type="spellStart"/>
            <w:r w:rsidRPr="005939D7">
              <w:rPr>
                <w:rStyle w:val="FontStyle17"/>
                <w:lang w:val="uk-UA" w:eastAsia="uk-UA"/>
              </w:rPr>
              <w:t>Отса</w:t>
            </w:r>
            <w:proofErr w:type="spellEnd"/>
            <w:r w:rsidRPr="005939D7">
              <w:rPr>
                <w:rStyle w:val="FontStyle17"/>
                <w:lang w:val="uk-UA" w:eastAsia="uk-UA"/>
              </w:rPr>
              <w:t>, 18 у Покровс</w:t>
            </w:r>
            <w:r w:rsidRPr="005939D7">
              <w:rPr>
                <w:rStyle w:val="FontStyle17"/>
                <w:lang w:val="uk-UA" w:eastAsia="uk-UA"/>
              </w:rPr>
              <w:t>ь</w:t>
            </w:r>
            <w:r w:rsidRPr="005939D7">
              <w:rPr>
                <w:rStyle w:val="FontStyle17"/>
                <w:lang w:val="uk-UA" w:eastAsia="uk-UA"/>
              </w:rPr>
              <w:t>кому районі розташована будівля кафе, право вл</w:t>
            </w:r>
            <w:r w:rsidRPr="005939D7">
              <w:rPr>
                <w:rStyle w:val="FontStyle17"/>
                <w:lang w:val="uk-UA" w:eastAsia="uk-UA"/>
              </w:rPr>
              <w:t>а</w:t>
            </w:r>
            <w:r w:rsidRPr="005939D7">
              <w:rPr>
                <w:rStyle w:val="FontStyle17"/>
                <w:lang w:val="uk-UA" w:eastAsia="uk-UA"/>
              </w:rPr>
              <w:t>сності на яку на теперішній час належить іншій особі, що суперечить вимогам ст.120 Земельного кодексу України</w:t>
            </w:r>
          </w:p>
          <w:p w:rsidR="0053154F" w:rsidRPr="005939D7" w:rsidRDefault="0053154F" w:rsidP="006B5DAE">
            <w:pPr>
              <w:ind w:left="-70" w:right="-7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3154F" w:rsidRPr="005939D7" w:rsidRDefault="0053154F">
      <w:pPr>
        <w:rPr>
          <w:b/>
          <w:i/>
          <w:szCs w:val="20"/>
          <w:lang w:val="uk-UA"/>
        </w:rPr>
      </w:pPr>
      <w:r w:rsidRPr="005939D7">
        <w:rPr>
          <w:b/>
          <w:i/>
          <w:szCs w:val="20"/>
          <w:lang w:val="uk-UA"/>
        </w:rPr>
        <w:br w:type="page"/>
      </w:r>
    </w:p>
    <w:p w:rsidR="00243281" w:rsidRPr="005939D7" w:rsidRDefault="00243281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0A2479" w:rsidRPr="005939D7" w:rsidTr="000A2479">
        <w:trPr>
          <w:trHeight w:val="274"/>
        </w:trPr>
        <w:tc>
          <w:tcPr>
            <w:tcW w:w="709" w:type="dxa"/>
          </w:tcPr>
          <w:p w:rsidR="000A2479" w:rsidRPr="005939D7" w:rsidRDefault="000A2479" w:rsidP="00B56DCA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0A2479" w:rsidRPr="005939D7" w:rsidRDefault="000A2479" w:rsidP="00B56DC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</w:tcPr>
          <w:p w:rsidR="000A2479" w:rsidRPr="005939D7" w:rsidRDefault="000A2479" w:rsidP="00B56DC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2268" w:type="dxa"/>
          </w:tcPr>
          <w:p w:rsidR="000A2479" w:rsidRPr="005939D7" w:rsidRDefault="000A2479" w:rsidP="00B56DC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0A2479" w:rsidRPr="005939D7" w:rsidRDefault="000A2479" w:rsidP="00B56DCA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386" w:type="dxa"/>
          </w:tcPr>
          <w:p w:rsidR="000A2479" w:rsidRPr="005939D7" w:rsidRDefault="000A2479" w:rsidP="00B56DCA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0A2479" w:rsidRPr="005939D7" w:rsidTr="000A2479">
        <w:trPr>
          <w:trHeight w:val="416"/>
        </w:trPr>
        <w:tc>
          <w:tcPr>
            <w:tcW w:w="709" w:type="dxa"/>
          </w:tcPr>
          <w:p w:rsidR="000A2479" w:rsidRPr="005939D7" w:rsidRDefault="000A2479" w:rsidP="00B56DC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0A2479" w:rsidRPr="005939D7" w:rsidRDefault="000A2479" w:rsidP="00B5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</w:t>
            </w:r>
          </w:p>
          <w:p w:rsidR="000A2479" w:rsidRPr="005939D7" w:rsidRDefault="000A2479" w:rsidP="00B5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обмеженою </w:t>
            </w:r>
          </w:p>
          <w:p w:rsidR="000A2479" w:rsidRPr="005939D7" w:rsidRDefault="000A2479" w:rsidP="00B5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тю </w:t>
            </w:r>
          </w:p>
          <w:p w:rsidR="000A2479" w:rsidRPr="005939D7" w:rsidRDefault="000A2479" w:rsidP="00B5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«ДІЯПРУДА»</w:t>
            </w:r>
          </w:p>
        </w:tc>
        <w:tc>
          <w:tcPr>
            <w:tcW w:w="2977" w:type="dxa"/>
          </w:tcPr>
          <w:p w:rsidR="000A2479" w:rsidRPr="005939D7" w:rsidRDefault="000A2479" w:rsidP="00B56D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послуга №2 </w:t>
            </w:r>
          </w:p>
          <w:p w:rsidR="000A2479" w:rsidRPr="005939D7" w:rsidRDefault="000A2479" w:rsidP="00B5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міської ради про надання в оренду земельних ділянок, що перебувають у 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власності»</w:t>
            </w:r>
          </w:p>
          <w:p w:rsidR="006B7163" w:rsidRPr="005939D7" w:rsidRDefault="000A2479" w:rsidP="00527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 вул. </w:t>
            </w: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Староярмарковій</w:t>
            </w:r>
            <w:proofErr w:type="spellEnd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35 у </w:t>
            </w: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Централно-Міському</w:t>
            </w:r>
            <w:proofErr w:type="spellEnd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A2479" w:rsidRPr="005939D7" w:rsidRDefault="000A2479" w:rsidP="0052727B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районі, для розміщення управління)</w:t>
            </w:r>
          </w:p>
        </w:tc>
        <w:tc>
          <w:tcPr>
            <w:tcW w:w="2268" w:type="dxa"/>
          </w:tcPr>
          <w:p w:rsidR="006B7163" w:rsidRPr="005939D7" w:rsidRDefault="000A2479" w:rsidP="00B56D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</w:t>
            </w:r>
          </w:p>
          <w:p w:rsidR="000A2479" w:rsidRPr="005939D7" w:rsidRDefault="000A2479" w:rsidP="00B56DCA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законодавства</w:t>
            </w:r>
          </w:p>
        </w:tc>
        <w:tc>
          <w:tcPr>
            <w:tcW w:w="1559" w:type="dxa"/>
          </w:tcPr>
          <w:p w:rsidR="00D018C3" w:rsidRPr="005939D7" w:rsidRDefault="00D018C3" w:rsidP="00D018C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Надійшло</w:t>
            </w:r>
          </w:p>
          <w:p w:rsidR="00D018C3" w:rsidRPr="005939D7" w:rsidRDefault="00D018C3" w:rsidP="00D018C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поштовим</w:t>
            </w:r>
          </w:p>
          <w:p w:rsidR="000A2479" w:rsidRPr="005939D7" w:rsidRDefault="00D018C3" w:rsidP="00D018C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0A2479" w:rsidRPr="005939D7" w:rsidRDefault="000A2479" w:rsidP="006D0578">
            <w:pPr>
              <w:ind w:left="-70" w:right="-7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витягу з Державного земельного кадастру від 22.04.2021 №НВ-1215873542021</w:t>
            </w:r>
            <w:r w:rsidR="006D0578"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до Поземельної книги внесені відомості  про зареєс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роване</w:t>
            </w:r>
            <w:r w:rsidR="006D0578"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Державним підприємством «Державна інспекція по якості залізних руд» право постійного користування земельною ділянкою </w:t>
            </w:r>
            <w:r w:rsidR="006D0578"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вул. </w:t>
            </w:r>
            <w:proofErr w:type="spellStart"/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Стар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ярмарковій</w:t>
            </w:r>
            <w:proofErr w:type="spellEnd"/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, 35 у Центрально-</w:t>
            </w:r>
            <w:r w:rsidRPr="005939D7">
              <w:rPr>
                <w:rStyle w:val="rvts0"/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Міському районі, </w:t>
            </w:r>
            <w:r w:rsidR="006D0578" w:rsidRPr="005939D7">
              <w:rPr>
                <w:rStyle w:val="rvts0"/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Style w:val="rvts0"/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посвідчене державним актом на право постійного </w:t>
            </w:r>
            <w:r w:rsidR="006D0578" w:rsidRPr="005939D7">
              <w:rPr>
                <w:rStyle w:val="rvts0"/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Style w:val="rvts0"/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користування землею від 29.06.1995 №274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A2479" w:rsidRPr="005939D7" w:rsidTr="000A2479">
        <w:trPr>
          <w:trHeight w:val="3315"/>
        </w:trPr>
        <w:tc>
          <w:tcPr>
            <w:tcW w:w="709" w:type="dxa"/>
          </w:tcPr>
          <w:p w:rsidR="000A2479" w:rsidRPr="005939D7" w:rsidRDefault="000A2479" w:rsidP="00B56DC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67205C" w:rsidRPr="005939D7" w:rsidRDefault="000A2479" w:rsidP="00B5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Громадянка </w:t>
            </w: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скалець</w:t>
            </w:r>
            <w:proofErr w:type="spellEnd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</w:t>
            </w:r>
          </w:p>
          <w:p w:rsidR="000A2479" w:rsidRPr="005939D7" w:rsidRDefault="000A2479" w:rsidP="00B5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Костянтинівна</w:t>
            </w:r>
          </w:p>
        </w:tc>
        <w:tc>
          <w:tcPr>
            <w:tcW w:w="2977" w:type="dxa"/>
          </w:tcPr>
          <w:p w:rsidR="000A2479" w:rsidRPr="005939D7" w:rsidRDefault="000A2479" w:rsidP="00B56DCA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  послуга №4</w:t>
            </w:r>
          </w:p>
          <w:p w:rsidR="006B7163" w:rsidRPr="005939D7" w:rsidRDefault="000A2479" w:rsidP="002E2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я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нам у власність земельних ділянок для будівництва та обслуговування житлового будинку, господарських будівель і споруд (прис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дибна ділянка), ведення садівництва, будівництва індивідуального гаража» 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6B7163" w:rsidRPr="005939D7" w:rsidRDefault="000A2479" w:rsidP="002E2BE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Широківській</w:t>
            </w:r>
            <w:proofErr w:type="spellEnd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151,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для будівництва та обсл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у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говування житлового </w:t>
            </w:r>
          </w:p>
          <w:p w:rsidR="006B7163" w:rsidRPr="005939D7" w:rsidRDefault="000A2479" w:rsidP="002E2BE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будинку господарських </w:t>
            </w:r>
          </w:p>
          <w:p w:rsidR="000A2479" w:rsidRPr="005939D7" w:rsidRDefault="000A2479" w:rsidP="002E2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будівель і споруд)</w:t>
            </w:r>
          </w:p>
        </w:tc>
        <w:tc>
          <w:tcPr>
            <w:tcW w:w="2268" w:type="dxa"/>
          </w:tcPr>
          <w:p w:rsidR="006B7163" w:rsidRPr="005939D7" w:rsidRDefault="000A2479" w:rsidP="00B56D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гам чинного </w:t>
            </w:r>
          </w:p>
          <w:p w:rsidR="000A2479" w:rsidRPr="005939D7" w:rsidRDefault="000A2479" w:rsidP="00B56D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законодавства</w:t>
            </w:r>
          </w:p>
        </w:tc>
        <w:tc>
          <w:tcPr>
            <w:tcW w:w="1559" w:type="dxa"/>
          </w:tcPr>
          <w:p w:rsidR="00530E48" w:rsidRPr="005939D7" w:rsidRDefault="00530E48" w:rsidP="00530E4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530E48" w:rsidRPr="005939D7" w:rsidRDefault="00530E48" w:rsidP="00530E4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</w:t>
            </w:r>
          </w:p>
          <w:p w:rsidR="000A2479" w:rsidRPr="005939D7" w:rsidRDefault="00530E48" w:rsidP="00530E48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0A2479" w:rsidRPr="005939D7" w:rsidRDefault="000A2479" w:rsidP="00B56DCA">
            <w:pPr>
              <w:ind w:left="-70" w:right="-70"/>
              <w:jc w:val="both"/>
              <w:rPr>
                <w:rStyle w:val="rvts0"/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1. У наданих на розгляд документах наявна       невідповідність кадастрового номера земельної      ділянки в заяві та у витязі з Державного земельн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кадастру про земельну ділянку від </w:t>
            </w:r>
            <w:r w:rsidRPr="005939D7">
              <w:rPr>
                <w:rStyle w:val="rvts0"/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21.08.2020 №НВ-1214272022020 (1211000000:08:497:0037)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када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тровому номеру земельної ділянки, на яку розро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939D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лена технічна документація із землеустрою </w:t>
            </w:r>
            <w:r w:rsidRPr="005939D7">
              <w:rPr>
                <w:rStyle w:val="rvts0"/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щодо встановлення (відновлення) меж земельної ділянки в натурі (на місцевості) (1211000000:03:004:0207).</w:t>
            </w:r>
          </w:p>
          <w:p w:rsidR="000A2479" w:rsidRPr="005939D7" w:rsidRDefault="000A2479" w:rsidP="006556F5">
            <w:pPr>
              <w:autoSpaceDE w:val="0"/>
              <w:autoSpaceDN w:val="0"/>
              <w:adjustRightInd w:val="0"/>
              <w:ind w:left="-70"/>
              <w:jc w:val="both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 Відповідно до ст. 28 Закону України «Про зе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леустрій» розробники документації із землеус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рою несуть відповідальність за достовірність, якість і безпеку заходів, передбачених нею</w:t>
            </w:r>
          </w:p>
        </w:tc>
      </w:tr>
    </w:tbl>
    <w:p w:rsidR="00EC6790" w:rsidRPr="005939D7" w:rsidRDefault="00EC6790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A41EA7" w:rsidRPr="005939D7" w:rsidRDefault="00A41EA7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0A2479" w:rsidRPr="005939D7" w:rsidTr="000A2479">
        <w:trPr>
          <w:trHeight w:val="280"/>
        </w:trPr>
        <w:tc>
          <w:tcPr>
            <w:tcW w:w="709" w:type="dxa"/>
          </w:tcPr>
          <w:p w:rsidR="000A2479" w:rsidRPr="005939D7" w:rsidRDefault="000A2479" w:rsidP="000A2479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0A2479" w:rsidRPr="005939D7" w:rsidRDefault="000A2479" w:rsidP="000A2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2479" w:rsidRPr="005939D7" w:rsidRDefault="000A2479" w:rsidP="000A2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2479" w:rsidRPr="005939D7" w:rsidRDefault="000A2479" w:rsidP="000A247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0A2479" w:rsidRPr="005939D7" w:rsidRDefault="000A2479" w:rsidP="000A2479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/>
                <w:i/>
                <w:spacing w:val="-2"/>
                <w:sz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A2479" w:rsidRPr="005939D7" w:rsidRDefault="000A2479" w:rsidP="000A2479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/>
                <w:i/>
                <w:spacing w:val="-2"/>
                <w:sz w:val="24"/>
                <w:lang w:val="uk-UA"/>
              </w:rPr>
              <w:t>6</w:t>
            </w:r>
          </w:p>
        </w:tc>
      </w:tr>
      <w:tr w:rsidR="000A2479" w:rsidRPr="005939D7" w:rsidTr="000A2479">
        <w:trPr>
          <w:trHeight w:val="2266"/>
        </w:trPr>
        <w:tc>
          <w:tcPr>
            <w:tcW w:w="709" w:type="dxa"/>
          </w:tcPr>
          <w:p w:rsidR="000A2479" w:rsidRPr="005939D7" w:rsidRDefault="005D1188" w:rsidP="000A2479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0A2479" w:rsidRPr="005939D7" w:rsidRDefault="000A2479" w:rsidP="000A2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</w:t>
            </w:r>
          </w:p>
          <w:p w:rsidR="000A2479" w:rsidRPr="005939D7" w:rsidRDefault="000A2479" w:rsidP="000A2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обмеженою </w:t>
            </w:r>
          </w:p>
          <w:p w:rsidR="000A2479" w:rsidRPr="005939D7" w:rsidRDefault="000A2479" w:rsidP="00672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 «КОЛОР»</w:t>
            </w:r>
          </w:p>
        </w:tc>
        <w:tc>
          <w:tcPr>
            <w:tcW w:w="2977" w:type="dxa"/>
          </w:tcPr>
          <w:p w:rsidR="000A2479" w:rsidRPr="005939D7" w:rsidRDefault="000A2479" w:rsidP="000A2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Адміністративна послуга №2 </w:t>
            </w:r>
          </w:p>
          <w:p w:rsidR="006B7163" w:rsidRPr="005939D7" w:rsidRDefault="000A2479" w:rsidP="000A247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«Видача рішення міської ради про надання в оренду земельних ділянок, що перебувають у комунал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ній власності» (земельна ділянка на вул. 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Софії К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валевської, 2а в Металу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гійному районі, для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ро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з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ташування адміністрати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в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но-побутового</w:t>
            </w:r>
          </w:p>
          <w:p w:rsidR="000A2479" w:rsidRPr="005939D7" w:rsidRDefault="000A2479" w:rsidP="000A2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приміщення)</w:t>
            </w:r>
          </w:p>
        </w:tc>
        <w:tc>
          <w:tcPr>
            <w:tcW w:w="2268" w:type="dxa"/>
          </w:tcPr>
          <w:p w:rsidR="000A2479" w:rsidRPr="005939D7" w:rsidRDefault="000A2479" w:rsidP="000A247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530E48" w:rsidRPr="005939D7" w:rsidRDefault="00530E48" w:rsidP="00530E4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530E48" w:rsidRPr="005939D7" w:rsidRDefault="00530E48" w:rsidP="00530E4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</w:t>
            </w:r>
          </w:p>
          <w:p w:rsidR="000A2479" w:rsidRPr="005939D7" w:rsidRDefault="00530E48" w:rsidP="00530E4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0A2479" w:rsidRPr="005939D7" w:rsidRDefault="000A2479" w:rsidP="000A2479">
            <w:pPr>
              <w:jc w:val="both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Заявником не надано підтвердження, що усунено причини відмови, викладені в рішенні міської ради від 27.01.2021 №179 «Про відмову в наданні у вл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сність і користування земельних ділянок», а саме:</w:t>
            </w:r>
          </w:p>
          <w:p w:rsidR="000A2479" w:rsidRPr="005939D7" w:rsidRDefault="000A2479" w:rsidP="000A2479">
            <w:pPr>
              <w:pStyle w:val="Style6"/>
              <w:ind w:hanging="1"/>
              <w:jc w:val="both"/>
              <w:rPr>
                <w:bCs/>
                <w:lang w:val="uk-UA"/>
              </w:rPr>
            </w:pPr>
            <w:r w:rsidRPr="005939D7">
              <w:rPr>
                <w:bCs/>
                <w:lang w:val="uk-UA"/>
              </w:rPr>
              <w:t>- земельна ділянка</w:t>
            </w:r>
            <w:r w:rsidRPr="005939D7">
              <w:rPr>
                <w:bCs/>
                <w:spacing w:val="-10"/>
                <w:lang w:val="uk-UA"/>
              </w:rPr>
              <w:t xml:space="preserve">  на вул. Софії Ковалевської, 2а </w:t>
            </w:r>
            <w:r w:rsidRPr="005939D7">
              <w:rPr>
                <w:bCs/>
                <w:lang w:val="uk-UA"/>
              </w:rPr>
              <w:t>в  Металургійному районі сформована для розташ</w:t>
            </w:r>
            <w:r w:rsidRPr="005939D7">
              <w:rPr>
                <w:bCs/>
                <w:lang w:val="uk-UA"/>
              </w:rPr>
              <w:t>у</w:t>
            </w:r>
            <w:r w:rsidRPr="005939D7">
              <w:rPr>
                <w:bCs/>
                <w:lang w:val="uk-UA"/>
              </w:rPr>
              <w:t>вання адміністративно-побутового приміщення;</w:t>
            </w:r>
          </w:p>
          <w:p w:rsidR="00D922A6" w:rsidRPr="005939D7" w:rsidRDefault="000A2479" w:rsidP="00D922A6">
            <w:pPr>
              <w:pStyle w:val="Style6"/>
              <w:ind w:hanging="1"/>
              <w:jc w:val="both"/>
              <w:rPr>
                <w:bCs/>
                <w:lang w:val="uk-UA"/>
              </w:rPr>
            </w:pPr>
            <w:r w:rsidRPr="005939D7">
              <w:rPr>
                <w:bCs/>
                <w:lang w:val="uk-UA"/>
              </w:rPr>
              <w:t>- відповідно до ст. 20 Земельного кодексу</w:t>
            </w:r>
            <w:r w:rsidR="006D0578" w:rsidRPr="005939D7">
              <w:rPr>
                <w:bCs/>
                <w:lang w:val="uk-UA"/>
              </w:rPr>
              <w:t xml:space="preserve"> </w:t>
            </w:r>
            <w:r w:rsidRPr="005939D7">
              <w:rPr>
                <w:bCs/>
                <w:lang w:val="uk-UA"/>
              </w:rPr>
              <w:t>Укра</w:t>
            </w:r>
            <w:r w:rsidRPr="005939D7">
              <w:rPr>
                <w:bCs/>
                <w:lang w:val="uk-UA"/>
              </w:rPr>
              <w:t>ї</w:t>
            </w:r>
            <w:r w:rsidRPr="005939D7">
              <w:rPr>
                <w:bCs/>
                <w:lang w:val="uk-UA"/>
              </w:rPr>
              <w:t xml:space="preserve">ни види використання земельної ділянки в  </w:t>
            </w:r>
            <w:r w:rsidR="009E3704" w:rsidRPr="005939D7">
              <w:rPr>
                <w:bCs/>
                <w:lang w:val="uk-UA"/>
              </w:rPr>
              <w:t xml:space="preserve"> м</w:t>
            </w:r>
            <w:r w:rsidR="009E3704" w:rsidRPr="005939D7">
              <w:rPr>
                <w:bCs/>
                <w:lang w:val="uk-UA"/>
              </w:rPr>
              <w:t>е</w:t>
            </w:r>
            <w:r w:rsidR="009E3704" w:rsidRPr="005939D7">
              <w:rPr>
                <w:bCs/>
                <w:lang w:val="uk-UA"/>
              </w:rPr>
              <w:t>жах певної категорії земель (крім земель сільс</w:t>
            </w:r>
            <w:r w:rsidR="009E3704" w:rsidRPr="005939D7">
              <w:rPr>
                <w:bCs/>
                <w:lang w:val="uk-UA"/>
              </w:rPr>
              <w:t>ь</w:t>
            </w:r>
            <w:r w:rsidR="009E3704" w:rsidRPr="005939D7">
              <w:rPr>
                <w:bCs/>
                <w:lang w:val="uk-UA"/>
              </w:rPr>
              <w:t>когосподарського призначення та земель обор</w:t>
            </w:r>
            <w:r w:rsidR="009E3704" w:rsidRPr="005939D7">
              <w:rPr>
                <w:bCs/>
                <w:lang w:val="uk-UA"/>
              </w:rPr>
              <w:t>о</w:t>
            </w:r>
            <w:r w:rsidR="009E3704" w:rsidRPr="005939D7">
              <w:rPr>
                <w:bCs/>
                <w:lang w:val="uk-UA"/>
              </w:rPr>
              <w:t>ни) визначаються її власником  або  користувачем</w:t>
            </w:r>
            <w:r w:rsidR="00D922A6" w:rsidRPr="005939D7">
              <w:rPr>
                <w:bCs/>
                <w:lang w:val="uk-UA"/>
              </w:rPr>
              <w:t xml:space="preserve">  самостійно в межах вимог, установлених законом до використання земель цієї категорії, з урах</w:t>
            </w:r>
            <w:r w:rsidR="00D922A6" w:rsidRPr="005939D7">
              <w:rPr>
                <w:bCs/>
                <w:lang w:val="uk-UA"/>
              </w:rPr>
              <w:t>у</w:t>
            </w:r>
            <w:r w:rsidR="00D922A6" w:rsidRPr="005939D7">
              <w:rPr>
                <w:bCs/>
                <w:lang w:val="uk-UA"/>
              </w:rPr>
              <w:t>ванням містобудівної документації та документ</w:t>
            </w:r>
            <w:r w:rsidR="00D922A6" w:rsidRPr="005939D7">
              <w:rPr>
                <w:bCs/>
                <w:lang w:val="uk-UA"/>
              </w:rPr>
              <w:t>а</w:t>
            </w:r>
            <w:r w:rsidR="00D922A6" w:rsidRPr="005939D7">
              <w:rPr>
                <w:bCs/>
                <w:lang w:val="uk-UA"/>
              </w:rPr>
              <w:t>ції із землеустрою;</w:t>
            </w:r>
          </w:p>
          <w:p w:rsidR="00D922A6" w:rsidRPr="005939D7" w:rsidRDefault="00D922A6" w:rsidP="00D922A6">
            <w:pPr>
              <w:pStyle w:val="Style6"/>
              <w:ind w:hanging="1"/>
              <w:jc w:val="both"/>
              <w:rPr>
                <w:bCs/>
                <w:lang w:val="uk-UA"/>
              </w:rPr>
            </w:pPr>
            <w:r w:rsidRPr="005939D7">
              <w:rPr>
                <w:bCs/>
                <w:lang w:val="uk-UA"/>
              </w:rPr>
              <w:t>- згідно з актом обстеження від 12.01.2021, вик</w:t>
            </w:r>
            <w:r w:rsidRPr="005939D7">
              <w:rPr>
                <w:bCs/>
                <w:lang w:val="uk-UA"/>
              </w:rPr>
              <w:t>о</w:t>
            </w:r>
            <w:r w:rsidRPr="005939D7">
              <w:rPr>
                <w:bCs/>
                <w:lang w:val="uk-UA"/>
              </w:rPr>
              <w:t>наним посадовими особами департаменту рег</w:t>
            </w:r>
            <w:r w:rsidRPr="005939D7">
              <w:rPr>
                <w:bCs/>
                <w:lang w:val="uk-UA"/>
              </w:rPr>
              <w:t>у</w:t>
            </w:r>
            <w:r w:rsidRPr="005939D7">
              <w:rPr>
                <w:bCs/>
                <w:lang w:val="uk-UA"/>
              </w:rPr>
              <w:t>лювання містобудівної діяльності та земельних відносин виконкому Криворізької міської ради земельна ділянка частково огороджена парканом, розміщеним з порушеннями її меж. Частина сп</w:t>
            </w:r>
            <w:r w:rsidRPr="005939D7">
              <w:rPr>
                <w:bCs/>
                <w:lang w:val="uk-UA"/>
              </w:rPr>
              <w:t>о</w:t>
            </w:r>
            <w:r w:rsidRPr="005939D7">
              <w:rPr>
                <w:bCs/>
                <w:lang w:val="uk-UA"/>
              </w:rPr>
              <w:t xml:space="preserve">руд: допоміжна споруда, </w:t>
            </w:r>
            <w:proofErr w:type="spellStart"/>
            <w:r w:rsidRPr="005939D7">
              <w:rPr>
                <w:bCs/>
                <w:lang w:val="uk-UA"/>
              </w:rPr>
              <w:t>споруда</w:t>
            </w:r>
            <w:proofErr w:type="spellEnd"/>
            <w:r w:rsidRPr="005939D7">
              <w:rPr>
                <w:bCs/>
                <w:lang w:val="uk-UA"/>
              </w:rPr>
              <w:t xml:space="preserve"> гаражів, тимч</w:t>
            </w:r>
            <w:r w:rsidRPr="005939D7">
              <w:rPr>
                <w:bCs/>
                <w:lang w:val="uk-UA"/>
              </w:rPr>
              <w:t>а</w:t>
            </w:r>
            <w:r w:rsidRPr="005939D7">
              <w:rPr>
                <w:bCs/>
                <w:lang w:val="uk-UA"/>
              </w:rPr>
              <w:t>совий навіс з дровами та добудована тимчасова споруда перебувають за межами земельного ві</w:t>
            </w:r>
            <w:r w:rsidRPr="005939D7">
              <w:rPr>
                <w:bCs/>
                <w:lang w:val="uk-UA"/>
              </w:rPr>
              <w:t>д</w:t>
            </w:r>
            <w:r w:rsidRPr="005939D7">
              <w:rPr>
                <w:bCs/>
                <w:lang w:val="uk-UA"/>
              </w:rPr>
              <w:t>ведення, що порушує вимоги ст. 15 Закону Укра</w:t>
            </w:r>
            <w:r w:rsidRPr="005939D7">
              <w:rPr>
                <w:bCs/>
                <w:lang w:val="uk-UA"/>
              </w:rPr>
              <w:t>ї</w:t>
            </w:r>
            <w:r w:rsidRPr="005939D7">
              <w:rPr>
                <w:bCs/>
                <w:lang w:val="uk-UA"/>
              </w:rPr>
              <w:t>ни «Про оренду землі».</w:t>
            </w:r>
          </w:p>
          <w:p w:rsidR="00D922A6" w:rsidRPr="005939D7" w:rsidRDefault="00D922A6" w:rsidP="00D922A6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5939D7">
              <w:rPr>
                <w:bCs/>
                <w:lang w:val="uk-UA"/>
              </w:rPr>
              <w:t>- містобудівна документація з урахуванням доб</w:t>
            </w:r>
            <w:r w:rsidRPr="005939D7">
              <w:rPr>
                <w:bCs/>
                <w:lang w:val="uk-UA"/>
              </w:rPr>
              <w:t>у</w:t>
            </w:r>
            <w:r w:rsidRPr="005939D7">
              <w:rPr>
                <w:bCs/>
                <w:lang w:val="uk-UA"/>
              </w:rPr>
              <w:t>дованої тимчасової споруди відсутня</w:t>
            </w:r>
          </w:p>
          <w:p w:rsidR="000A2479" w:rsidRPr="005939D7" w:rsidRDefault="009E3704" w:rsidP="009E3704">
            <w:pPr>
              <w:jc w:val="both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4B0B02" w:rsidRPr="005939D7" w:rsidRDefault="004B0B02" w:rsidP="004B0B02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7D444F" w:rsidRPr="005939D7" w:rsidRDefault="007D444F" w:rsidP="004B0B02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7D444F" w:rsidRPr="005939D7" w:rsidRDefault="007D444F" w:rsidP="004B0B02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7D444F" w:rsidRPr="005939D7" w:rsidTr="007D444F">
        <w:trPr>
          <w:trHeight w:val="281"/>
        </w:trPr>
        <w:tc>
          <w:tcPr>
            <w:tcW w:w="709" w:type="dxa"/>
          </w:tcPr>
          <w:p w:rsidR="007D444F" w:rsidRPr="005939D7" w:rsidRDefault="007D444F" w:rsidP="007D444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2268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7D444F" w:rsidRPr="005939D7" w:rsidRDefault="007D444F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7D444F" w:rsidRPr="005939D7" w:rsidRDefault="007D444F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7D444F" w:rsidRPr="005939D7" w:rsidTr="007D444F">
        <w:trPr>
          <w:trHeight w:val="423"/>
        </w:trPr>
        <w:tc>
          <w:tcPr>
            <w:tcW w:w="709" w:type="dxa"/>
          </w:tcPr>
          <w:p w:rsidR="007D444F" w:rsidRPr="005939D7" w:rsidRDefault="007D444F" w:rsidP="007D444F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Громадянка 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Тимофієва 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2977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«Видача рішення міської ради про надання в оренду земельних ділянок, що перебувають у комунал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ній власності» (земельна ділянка на 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Старово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зальній</w:t>
            </w:r>
            <w:proofErr w:type="spellEnd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56д у Централ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но-Міському районі, для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розміщення автотранспо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тного  підприємства)</w:t>
            </w:r>
          </w:p>
        </w:tc>
        <w:tc>
          <w:tcPr>
            <w:tcW w:w="2268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гам чинного 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законодавства</w:t>
            </w:r>
          </w:p>
        </w:tc>
        <w:tc>
          <w:tcPr>
            <w:tcW w:w="1559" w:type="dxa"/>
          </w:tcPr>
          <w:p w:rsidR="007D444F" w:rsidRPr="005939D7" w:rsidRDefault="007D444F" w:rsidP="007D444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7D444F" w:rsidRPr="005939D7" w:rsidRDefault="007D444F" w:rsidP="007D444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</w:t>
            </w:r>
          </w:p>
          <w:p w:rsidR="007D444F" w:rsidRPr="005939D7" w:rsidRDefault="007D444F" w:rsidP="007D444F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7D444F" w:rsidRPr="005939D7" w:rsidRDefault="007D444F" w:rsidP="007D444F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5939D7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в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лено, що надання в користування земельної діл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я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 xml:space="preserve">нки, зареєстрованої  в  Державному  земельному  кадастрі відповідно до  </w:t>
            </w:r>
            <w:hyperlink r:id="rId9" w:tgtFrame="_blank" w:history="1">
              <w:r w:rsidRPr="005939D7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5939D7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вих прав на нерухоме майно, без зміни її меж та цільового призначення здійснюється без складе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ня документації із землеустрою.</w:t>
            </w:r>
          </w:p>
          <w:p w:rsidR="007D444F" w:rsidRPr="005939D7" w:rsidRDefault="007D444F" w:rsidP="007D444F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5939D7">
              <w:rPr>
                <w:rStyle w:val="FontStyle17"/>
                <w:color w:val="000000" w:themeColor="text1"/>
                <w:lang w:val="uk-UA" w:eastAsia="uk-UA"/>
              </w:rPr>
              <w:t>2. Відповідно до інформаційної довідки з Держ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 xml:space="preserve">вного реєстру речових прав на нерухоме майно від 01.06.2021 №259343778 право комунальної   власності  за 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Криворізькою міською  територіал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ною громадою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 xml:space="preserve"> на  земельну  ділянку на </w:t>
            </w:r>
          </w:p>
          <w:p w:rsidR="007D444F" w:rsidRPr="005939D7" w:rsidRDefault="007D444F" w:rsidP="007D444F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5939D7">
              <w:rPr>
                <w:rStyle w:val="FontStyle17"/>
                <w:color w:val="000000" w:themeColor="text1"/>
                <w:lang w:val="uk-UA" w:eastAsia="uk-UA"/>
              </w:rPr>
              <w:t xml:space="preserve">вул. </w:t>
            </w:r>
            <w:proofErr w:type="spellStart"/>
            <w:r w:rsidRPr="005939D7">
              <w:rPr>
                <w:rStyle w:val="FontStyle17"/>
                <w:color w:val="000000" w:themeColor="text1"/>
                <w:lang w:val="uk-UA" w:eastAsia="uk-UA"/>
              </w:rPr>
              <w:t>Старовокзальній</w:t>
            </w:r>
            <w:proofErr w:type="spellEnd"/>
            <w:r w:rsidRPr="005939D7">
              <w:rPr>
                <w:rStyle w:val="FontStyle17"/>
                <w:color w:val="000000" w:themeColor="text1"/>
                <w:lang w:val="uk-UA" w:eastAsia="uk-UA"/>
              </w:rPr>
              <w:t xml:space="preserve">, 56д (кадастровий номер 1211000000:08:573:0016) не зареєстроване. </w:t>
            </w:r>
          </w:p>
          <w:p w:rsidR="007D444F" w:rsidRPr="005939D7" w:rsidRDefault="007D444F" w:rsidP="007D444F">
            <w:pPr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lang w:val="uk-UA"/>
              </w:rPr>
            </w:pPr>
            <w:r w:rsidRPr="005939D7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без зміни її меж та    цільового призначення, надання земельної діля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ки в користування здійснюється на підставі те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х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нічної документації із землеустрою щодо встан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влення меж земельної ділянки в натурі (на місц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вості), що розробляється на підставі дозволу, н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даного органом місцевого самоврядування, ві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д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повідно до повноважень, визначених ст.122 Зем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льного кодексу України</w:t>
            </w:r>
          </w:p>
        </w:tc>
      </w:tr>
      <w:tr w:rsidR="007D444F" w:rsidRPr="005939D7" w:rsidTr="007D444F">
        <w:trPr>
          <w:trHeight w:val="423"/>
        </w:trPr>
        <w:tc>
          <w:tcPr>
            <w:tcW w:w="709" w:type="dxa"/>
          </w:tcPr>
          <w:p w:rsidR="007D444F" w:rsidRPr="005939D7" w:rsidRDefault="007D444F" w:rsidP="007D444F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Розовель</w:t>
            </w:r>
            <w:proofErr w:type="spellEnd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«Видача рішення міської ради про надання в оренду земельних ділянок, що  перебувають у комунал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власності» (земельна</w:t>
            </w:r>
          </w:p>
        </w:tc>
        <w:tc>
          <w:tcPr>
            <w:tcW w:w="2268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гам чинного 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законодавства</w:t>
            </w:r>
          </w:p>
        </w:tc>
        <w:tc>
          <w:tcPr>
            <w:tcW w:w="1559" w:type="dxa"/>
          </w:tcPr>
          <w:p w:rsidR="007D444F" w:rsidRPr="005939D7" w:rsidRDefault="007D444F" w:rsidP="007D444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7D444F" w:rsidRPr="005939D7" w:rsidRDefault="007D444F" w:rsidP="007D444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</w:t>
            </w:r>
          </w:p>
          <w:p w:rsidR="007D444F" w:rsidRPr="005939D7" w:rsidRDefault="007D444F" w:rsidP="007D444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виконкому</w:t>
            </w:r>
          </w:p>
        </w:tc>
        <w:tc>
          <w:tcPr>
            <w:tcW w:w="5386" w:type="dxa"/>
          </w:tcPr>
          <w:p w:rsidR="007D444F" w:rsidRPr="005939D7" w:rsidRDefault="007D444F" w:rsidP="007D444F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5939D7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в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лено, що надання в користування земельної діл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я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 xml:space="preserve">нки, зареєстрованої  в  Державному  земельному  кадастрі відповідно до  </w:t>
            </w:r>
            <w:hyperlink r:id="rId10" w:tgtFrame="_blank" w:history="1">
              <w:r w:rsidRPr="005939D7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5939D7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вих прав на нерухоме майно, без зміни її  меж  та</w:t>
            </w:r>
          </w:p>
        </w:tc>
      </w:tr>
      <w:tr w:rsidR="009E3704" w:rsidRPr="005939D7" w:rsidTr="007D444F">
        <w:trPr>
          <w:trHeight w:val="281"/>
        </w:trPr>
        <w:tc>
          <w:tcPr>
            <w:tcW w:w="709" w:type="dxa"/>
          </w:tcPr>
          <w:p w:rsidR="009E3704" w:rsidRPr="005939D7" w:rsidRDefault="009E3704" w:rsidP="007D444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9E3704" w:rsidRPr="005939D7" w:rsidTr="007D444F">
        <w:trPr>
          <w:trHeight w:val="848"/>
        </w:trPr>
        <w:tc>
          <w:tcPr>
            <w:tcW w:w="709" w:type="dxa"/>
          </w:tcPr>
          <w:p w:rsidR="009E3704" w:rsidRPr="005939D7" w:rsidRDefault="009E3704" w:rsidP="007D444F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</w:t>
            </w:r>
            <w:r w:rsidR="007D444F"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вул. Десан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ній, 6 у Покровському районі, для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розміщення тимчасового металевого гаража)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3704" w:rsidRPr="005939D7" w:rsidRDefault="009E3704" w:rsidP="007D444F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5939D7">
              <w:rPr>
                <w:rStyle w:val="FontStyle17"/>
                <w:color w:val="000000" w:themeColor="text1"/>
                <w:lang w:val="uk-UA" w:eastAsia="uk-UA"/>
              </w:rPr>
              <w:t>цільового призначення здійснюється без складе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ня документації із землеустрою.</w:t>
            </w:r>
          </w:p>
          <w:p w:rsidR="009E3704" w:rsidRPr="005939D7" w:rsidRDefault="009E3704" w:rsidP="007D444F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5939D7">
              <w:rPr>
                <w:rStyle w:val="FontStyle17"/>
                <w:color w:val="000000" w:themeColor="text1"/>
                <w:lang w:val="uk-UA" w:eastAsia="uk-UA"/>
              </w:rPr>
              <w:t>2.  Відповідно до інформаційної довідки з Держ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 xml:space="preserve">вного реєстру речових прав на нерухоме майно від 01.06.2021 №259343338 право  комунальної власності  за  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Криворізькою  міською територі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льною громадою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 xml:space="preserve"> на  земельну  ділянку на            вул. Десантній, 6 (кадастровий номер 1211000000:04:268:0032) не зареєстроване. </w:t>
            </w:r>
          </w:p>
          <w:p w:rsidR="009E3704" w:rsidRPr="005939D7" w:rsidRDefault="009E3704" w:rsidP="007D44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939D7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без зміни її меж та   ц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і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льового   призначення, надання земельної  діля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ки в користування здійснюється на підставі    т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 xml:space="preserve">хнічної  документації 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із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землеустрою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5939D7">
              <w:rPr>
                <w:rStyle w:val="FontStyle17"/>
                <w:color w:val="000000" w:themeColor="text1"/>
                <w:lang w:val="uk-UA" w:eastAsia="uk-UA"/>
              </w:rPr>
              <w:t>щодо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 xml:space="preserve">  вст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>новлення меж земельної ділянки в натурі  (на м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>і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>сцевості), що   розробляється  на підставі д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>зволу, наданого органом місцевого самовряд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="007D444F" w:rsidRPr="005939D7">
              <w:rPr>
                <w:rStyle w:val="FontStyle17"/>
                <w:color w:val="000000" w:themeColor="text1"/>
                <w:lang w:val="uk-UA" w:eastAsia="uk-UA"/>
              </w:rPr>
              <w:t xml:space="preserve">вання, відповідно до повноважень, визначених ст.122 Земельного кодексу України </w:t>
            </w:r>
          </w:p>
        </w:tc>
      </w:tr>
      <w:tr w:rsidR="009E3704" w:rsidRPr="005939D7" w:rsidTr="007D444F">
        <w:trPr>
          <w:trHeight w:val="281"/>
        </w:trPr>
        <w:tc>
          <w:tcPr>
            <w:tcW w:w="709" w:type="dxa"/>
          </w:tcPr>
          <w:p w:rsidR="009E3704" w:rsidRPr="005939D7" w:rsidRDefault="005D1188" w:rsidP="007D444F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особа-підприємець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Тулінов</w:t>
            </w:r>
            <w:proofErr w:type="spellEnd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«Видача рішення міської ради про надання в оренду земельних ділянок, що перебувають у комунал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власності»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пр-ті</w:t>
            </w:r>
            <w:proofErr w:type="spellEnd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Перемоги, 47а в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Інгулецькому районі, для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будівництво та обслугов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у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вання об’єктів  туристи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ч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ної інфраструктури та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закладів громадського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харчування)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документів, н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законодавства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Надійшло</w:t>
            </w:r>
          </w:p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поштовим</w:t>
            </w:r>
          </w:p>
          <w:p w:rsidR="009E3704" w:rsidRPr="005939D7" w:rsidRDefault="009E3704" w:rsidP="007D444F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5939D7">
              <w:rPr>
                <w:rStyle w:val="rvts0"/>
                <w:color w:val="000000" w:themeColor="text1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5939D7">
              <w:rPr>
                <w:color w:val="000000" w:themeColor="text1"/>
                <w:lang w:val="uk-UA"/>
              </w:rPr>
              <w:t>1. Відповідно до п. 2 ст.124 Земельного кодексу України (надалі − Кодекс) передача в оренду з</w:t>
            </w:r>
            <w:r w:rsidRPr="005939D7">
              <w:rPr>
                <w:color w:val="000000" w:themeColor="text1"/>
                <w:lang w:val="uk-UA"/>
              </w:rPr>
              <w:t>е</w:t>
            </w:r>
            <w:r w:rsidRPr="005939D7">
              <w:rPr>
                <w:color w:val="000000" w:themeColor="text1"/>
                <w:lang w:val="uk-UA"/>
              </w:rPr>
              <w:t>мельних ділянок, що перебувають у державній або комунальній власності, здійснюється за р</w:t>
            </w:r>
            <w:r w:rsidRPr="005939D7">
              <w:rPr>
                <w:color w:val="000000" w:themeColor="text1"/>
                <w:lang w:val="uk-UA"/>
              </w:rPr>
              <w:t>е</w:t>
            </w:r>
            <w:r w:rsidRPr="005939D7">
              <w:rPr>
                <w:color w:val="000000" w:themeColor="text1"/>
                <w:lang w:val="uk-UA"/>
              </w:rPr>
              <w:t>зультатами проведення земельних торгів, крім випадків,  установлених частинами 2, 3    ст. 134 Кодексу.</w:t>
            </w:r>
          </w:p>
          <w:p w:rsidR="009E3704" w:rsidRPr="005939D7" w:rsidRDefault="009E3704" w:rsidP="007D444F">
            <w:pPr>
              <w:pStyle w:val="8"/>
              <w:jc w:val="both"/>
              <w:outlineLvl w:val="7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t>2.</w:t>
            </w:r>
            <w:r w:rsidRPr="005939D7">
              <w:rPr>
                <w:color w:val="000000" w:themeColor="text1"/>
              </w:rPr>
              <w:t xml:space="preserve"> </w:t>
            </w:r>
            <w:r w:rsidRPr="005939D7">
              <w:rPr>
                <w:color w:val="000000" w:themeColor="text1"/>
                <w:sz w:val="24"/>
                <w:szCs w:val="24"/>
              </w:rPr>
              <w:t>Відповідно до п. 2 ст. 134 Кодексу не підляг</w:t>
            </w:r>
            <w:r w:rsidRPr="005939D7">
              <w:rPr>
                <w:color w:val="000000" w:themeColor="text1"/>
                <w:sz w:val="24"/>
                <w:szCs w:val="24"/>
              </w:rPr>
              <w:t>а</w:t>
            </w:r>
            <w:r w:rsidRPr="005939D7">
              <w:rPr>
                <w:color w:val="000000" w:themeColor="text1"/>
                <w:sz w:val="24"/>
                <w:szCs w:val="24"/>
              </w:rPr>
              <w:t>ють продажу на конкурентних засадах (земельних торгах) земельні ділянки державної чи комунал</w:t>
            </w:r>
            <w:r w:rsidRPr="005939D7">
              <w:rPr>
                <w:color w:val="000000" w:themeColor="text1"/>
                <w:sz w:val="24"/>
                <w:szCs w:val="24"/>
              </w:rPr>
              <w:t>ь</w:t>
            </w:r>
            <w:r w:rsidRPr="005939D7">
              <w:rPr>
                <w:color w:val="000000" w:themeColor="text1"/>
                <w:sz w:val="24"/>
                <w:szCs w:val="24"/>
              </w:rPr>
              <w:t>ної власності або права на них у разі розташува</w:t>
            </w:r>
            <w:r w:rsidRPr="005939D7">
              <w:rPr>
                <w:color w:val="000000" w:themeColor="text1"/>
                <w:sz w:val="24"/>
                <w:szCs w:val="24"/>
              </w:rPr>
              <w:t>н</w:t>
            </w:r>
            <w:r w:rsidRPr="005939D7">
              <w:rPr>
                <w:color w:val="000000" w:themeColor="text1"/>
                <w:sz w:val="24"/>
                <w:szCs w:val="24"/>
              </w:rPr>
              <w:t>ня на земельних ділянках об'єктів нерухомого майна (будівель, споруд), що перебувають у вл</w:t>
            </w:r>
            <w:r w:rsidRPr="005939D7">
              <w:rPr>
                <w:color w:val="000000" w:themeColor="text1"/>
                <w:sz w:val="24"/>
                <w:szCs w:val="24"/>
              </w:rPr>
              <w:t>а</w:t>
            </w:r>
            <w:r w:rsidRPr="005939D7">
              <w:rPr>
                <w:color w:val="000000" w:themeColor="text1"/>
                <w:sz w:val="24"/>
                <w:szCs w:val="24"/>
              </w:rPr>
              <w:t>сності фізичних або юридичних осіб.</w:t>
            </w:r>
          </w:p>
          <w:p w:rsidR="009E3704" w:rsidRPr="005939D7" w:rsidRDefault="009E3704" w:rsidP="007D44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FontStyle17"/>
                <w:color w:val="000000" w:themeColor="text1"/>
                <w:spacing w:val="-2"/>
                <w:szCs w:val="22"/>
                <w:lang w:val="uk-UA"/>
              </w:rPr>
            </w:pPr>
            <w:r w:rsidRPr="005939D7">
              <w:rPr>
                <w:color w:val="000000" w:themeColor="text1"/>
                <w:lang w:val="uk-UA"/>
              </w:rPr>
              <w:t>3. Згідно</w:t>
            </w:r>
            <w:r w:rsidR="007D444F" w:rsidRPr="005939D7">
              <w:rPr>
                <w:color w:val="000000" w:themeColor="text1"/>
                <w:lang w:val="uk-UA"/>
              </w:rPr>
              <w:t xml:space="preserve">   </w:t>
            </w:r>
            <w:r w:rsidRPr="005939D7">
              <w:rPr>
                <w:color w:val="000000" w:themeColor="text1"/>
                <w:lang w:val="uk-UA"/>
              </w:rPr>
              <w:t xml:space="preserve"> з </w:t>
            </w:r>
            <w:r w:rsidR="007D444F" w:rsidRPr="005939D7">
              <w:rPr>
                <w:color w:val="000000" w:themeColor="text1"/>
                <w:lang w:val="uk-UA"/>
              </w:rPr>
              <w:t xml:space="preserve">  </w:t>
            </w:r>
            <w:r w:rsidRPr="005939D7">
              <w:rPr>
                <w:color w:val="000000" w:themeColor="text1"/>
                <w:lang w:val="uk-UA"/>
              </w:rPr>
              <w:t xml:space="preserve">відомостями </w:t>
            </w:r>
            <w:r w:rsidR="007D444F" w:rsidRPr="005939D7">
              <w:rPr>
                <w:color w:val="000000" w:themeColor="text1"/>
                <w:lang w:val="uk-UA"/>
              </w:rPr>
              <w:t xml:space="preserve">  </w:t>
            </w:r>
            <w:r w:rsidRPr="005939D7">
              <w:rPr>
                <w:color w:val="000000" w:themeColor="text1"/>
                <w:lang w:val="uk-UA"/>
              </w:rPr>
              <w:t>Державного реєстру</w:t>
            </w:r>
            <w:r w:rsidR="007D444F" w:rsidRPr="005939D7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9E3704" w:rsidRPr="005939D7" w:rsidTr="007D444F">
        <w:trPr>
          <w:trHeight w:val="281"/>
        </w:trPr>
        <w:tc>
          <w:tcPr>
            <w:tcW w:w="709" w:type="dxa"/>
          </w:tcPr>
          <w:p w:rsidR="009E3704" w:rsidRPr="005939D7" w:rsidRDefault="009E3704" w:rsidP="007D444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9E3704" w:rsidRPr="005939D7" w:rsidTr="007D444F">
        <w:trPr>
          <w:trHeight w:val="281"/>
        </w:trPr>
        <w:tc>
          <w:tcPr>
            <w:tcW w:w="709" w:type="dxa"/>
          </w:tcPr>
          <w:p w:rsidR="009E3704" w:rsidRPr="005939D7" w:rsidRDefault="009E3704" w:rsidP="007D444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2268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559" w:type="dxa"/>
          </w:tcPr>
          <w:p w:rsidR="009E3704" w:rsidRPr="005939D7" w:rsidRDefault="009E3704" w:rsidP="007D444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7D444F" w:rsidRPr="005939D7" w:rsidRDefault="007D444F" w:rsidP="007D44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5939D7">
              <w:rPr>
                <w:color w:val="000000" w:themeColor="text1"/>
                <w:lang w:val="uk-UA"/>
              </w:rPr>
              <w:t xml:space="preserve">речових прав на нерухоме майно станом на 01.06.2021 нерухоме майно на </w:t>
            </w:r>
            <w:proofErr w:type="spellStart"/>
            <w:r w:rsidRPr="005939D7">
              <w:rPr>
                <w:color w:val="000000" w:themeColor="text1"/>
                <w:lang w:val="uk-UA"/>
              </w:rPr>
              <w:t>пр-ті</w:t>
            </w:r>
            <w:proofErr w:type="spellEnd"/>
            <w:r w:rsidRPr="005939D7">
              <w:rPr>
                <w:color w:val="000000" w:themeColor="text1"/>
                <w:lang w:val="uk-UA"/>
              </w:rPr>
              <w:t xml:space="preserve"> Перемоги, 47а відсутнє, за фізичною особою-підприємцем </w:t>
            </w:r>
            <w:proofErr w:type="spellStart"/>
            <w:r w:rsidRPr="005939D7">
              <w:rPr>
                <w:color w:val="000000" w:themeColor="text1"/>
                <w:lang w:val="uk-UA"/>
              </w:rPr>
              <w:t>Туліновим</w:t>
            </w:r>
            <w:proofErr w:type="spellEnd"/>
            <w:r w:rsidRPr="005939D7">
              <w:rPr>
                <w:color w:val="000000" w:themeColor="text1"/>
                <w:lang w:val="uk-UA"/>
              </w:rPr>
              <w:t xml:space="preserve"> Віктором Вікторовичем не зареєстр</w:t>
            </w:r>
            <w:r w:rsidRPr="005939D7">
              <w:rPr>
                <w:color w:val="000000" w:themeColor="text1"/>
                <w:lang w:val="uk-UA"/>
              </w:rPr>
              <w:t>о</w:t>
            </w:r>
            <w:r w:rsidRPr="005939D7">
              <w:rPr>
                <w:color w:val="000000" w:themeColor="text1"/>
                <w:lang w:val="uk-UA"/>
              </w:rPr>
              <w:t xml:space="preserve">ване. </w:t>
            </w:r>
          </w:p>
          <w:p w:rsidR="007D444F" w:rsidRPr="005939D7" w:rsidRDefault="007D444F" w:rsidP="007D444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4. Відповідно до інформаційної картки адміністр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тивної послуги №2 вичерпний перелік документів передбачає витяг з Державного земельного када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тру про земельну ділянку з визначеним кадастр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вим номером, що підтверджує факт державної   реєстрації  цієї  земельної  ділянки   в  Державному земельному кадастрі.</w:t>
            </w:r>
          </w:p>
          <w:p w:rsidR="009E3704" w:rsidRPr="005939D7" w:rsidRDefault="007D444F" w:rsidP="007D444F">
            <w:pPr>
              <w:ind w:left="-70" w:right="-70"/>
              <w:jc w:val="both"/>
              <w:rPr>
                <w:rStyle w:val="rvts0"/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5. У наданому на розгляд пакеті документів відсу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т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ній витяг з Державного земельного кадастру на </w:t>
            </w:r>
            <w:r w:rsidR="009E3704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земельну ділянку на </w:t>
            </w:r>
            <w:proofErr w:type="spellStart"/>
            <w:r w:rsidR="009E3704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пр-ті</w:t>
            </w:r>
            <w:proofErr w:type="spellEnd"/>
            <w:r w:rsidR="009E3704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Перемоги, 47а (кадастр</w:t>
            </w:r>
            <w:r w:rsidR="009E3704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</w:t>
            </w:r>
            <w:r w:rsidR="009E3704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вий номер 1211000000:12:259:0025)</w:t>
            </w:r>
          </w:p>
        </w:tc>
      </w:tr>
      <w:tr w:rsidR="009E3704" w:rsidRPr="005939D7" w:rsidTr="007D444F">
        <w:trPr>
          <w:trHeight w:val="3315"/>
        </w:trPr>
        <w:tc>
          <w:tcPr>
            <w:tcW w:w="709" w:type="dxa"/>
          </w:tcPr>
          <w:p w:rsidR="009E3704" w:rsidRPr="005939D7" w:rsidRDefault="009E3704" w:rsidP="005D118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  <w:r w:rsidR="005D1188"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jc w:val="center"/>
              <w:rPr>
                <w:rStyle w:val="FontStyle17"/>
                <w:lang w:val="uk-UA" w:eastAsia="uk-UA"/>
              </w:rPr>
            </w:pPr>
            <w:r w:rsidRPr="005939D7">
              <w:rPr>
                <w:rStyle w:val="FontStyle17"/>
                <w:lang w:val="uk-UA" w:eastAsia="uk-UA"/>
              </w:rPr>
              <w:t xml:space="preserve">Товариство з обмеженою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Style w:val="FontStyle17"/>
                <w:lang w:val="uk-UA" w:eastAsia="uk-UA"/>
              </w:rPr>
              <w:t>відповідальні</w:t>
            </w:r>
            <w:r w:rsidRPr="005939D7">
              <w:rPr>
                <w:rStyle w:val="FontStyle17"/>
                <w:lang w:val="uk-UA" w:eastAsia="uk-UA"/>
              </w:rPr>
              <w:t>с</w:t>
            </w:r>
            <w:r w:rsidRPr="005939D7">
              <w:rPr>
                <w:rStyle w:val="FontStyle17"/>
                <w:lang w:val="uk-UA" w:eastAsia="uk-UA"/>
              </w:rPr>
              <w:t>тю «АТБ-ІНВЕСТ»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«Видача рішення міської ради про надання в оренду земельних ділянок, що перебувають у комунал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власності»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вул. Петра Дорошенка, 2 у </w:t>
            </w:r>
            <w:proofErr w:type="spellStart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районі, для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розміщення магазину продовольчих та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непродовольчих товарів)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  <w:r w:rsidRPr="005939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н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гам чинного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законодавства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Надійшло</w:t>
            </w:r>
          </w:p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поштовим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jc w:val="both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1. Відповідно до інформаційної картки адміністр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тивної послуги №2 вичерпний перелік документів передбачає витяг з Державного земельного када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тру про земельну ділянку з визначеним кадастр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вим номером, що підтверджує факт державної р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єстрації цієї земельної ділянки в Державному    земельному кадастрі.</w:t>
            </w:r>
          </w:p>
          <w:p w:rsidR="009E3704" w:rsidRPr="005939D7" w:rsidRDefault="009E3704" w:rsidP="007D444F">
            <w:pPr>
              <w:jc w:val="both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2. У наданому на розгляд пакеті документів відс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у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тній витяг з Державного земельного кадастру на земельну ділянку на вул. Петра Дорошенка, 2   (кадастровий номер 1211000000:03:205:0032).</w:t>
            </w:r>
          </w:p>
          <w:p w:rsidR="009E3704" w:rsidRPr="005939D7" w:rsidRDefault="009E3704" w:rsidP="007D4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3. Заявником не надано підтвердження, що усун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но причини відмови, викладені в рішенні міської ради від 27.01.2021 №179  «Про відмову в наданні у власність і користування земельних ділянок», а саме: з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з актом обстеження земельної діля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ки, виконаним посадовими особами департаменту регулювання містобудівної діяльності та земел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відносин виконкому Криворізької міської </w:t>
            </w:r>
          </w:p>
        </w:tc>
      </w:tr>
      <w:tr w:rsidR="007D444F" w:rsidRPr="005939D7" w:rsidTr="007D444F">
        <w:trPr>
          <w:trHeight w:val="203"/>
        </w:trPr>
        <w:tc>
          <w:tcPr>
            <w:tcW w:w="709" w:type="dxa"/>
          </w:tcPr>
          <w:p w:rsidR="007D444F" w:rsidRPr="005939D7" w:rsidRDefault="007D444F" w:rsidP="007D444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7D444F" w:rsidRPr="005939D7" w:rsidRDefault="007D444F" w:rsidP="007D444F">
            <w:pPr>
              <w:jc w:val="center"/>
              <w:rPr>
                <w:rStyle w:val="FontStyle17"/>
                <w:b/>
                <w:i/>
                <w:lang w:val="uk-UA" w:eastAsia="uk-UA"/>
              </w:rPr>
            </w:pPr>
            <w:r w:rsidRPr="005939D7">
              <w:rPr>
                <w:rStyle w:val="FontStyle17"/>
                <w:b/>
                <w:i/>
                <w:lang w:val="uk-UA" w:eastAsia="uk-UA"/>
              </w:rPr>
              <w:t>2</w:t>
            </w:r>
          </w:p>
        </w:tc>
        <w:tc>
          <w:tcPr>
            <w:tcW w:w="2977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7D444F" w:rsidRPr="005939D7" w:rsidRDefault="007D444F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/>
                <w:i/>
                <w:spacing w:val="-2"/>
                <w:sz w:val="24"/>
                <w:lang w:val="uk-UA"/>
              </w:rPr>
              <w:t>6</w:t>
            </w:r>
          </w:p>
        </w:tc>
      </w:tr>
      <w:tr w:rsidR="007D444F" w:rsidRPr="005939D7" w:rsidTr="007D444F">
        <w:trPr>
          <w:trHeight w:val="203"/>
        </w:trPr>
        <w:tc>
          <w:tcPr>
            <w:tcW w:w="709" w:type="dxa"/>
          </w:tcPr>
          <w:p w:rsidR="007D444F" w:rsidRPr="005939D7" w:rsidRDefault="007D444F" w:rsidP="007D444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7D444F" w:rsidRPr="005939D7" w:rsidRDefault="007D444F" w:rsidP="007D444F">
            <w:pPr>
              <w:jc w:val="center"/>
              <w:rPr>
                <w:rStyle w:val="FontStyle17"/>
                <w:b/>
                <w:i/>
                <w:lang w:val="uk-UA" w:eastAsia="uk-UA"/>
              </w:rPr>
            </w:pPr>
          </w:p>
        </w:tc>
        <w:tc>
          <w:tcPr>
            <w:tcW w:w="2977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D444F" w:rsidRPr="005939D7" w:rsidRDefault="007D444F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559" w:type="dxa"/>
          </w:tcPr>
          <w:p w:rsidR="007D444F" w:rsidRPr="005939D7" w:rsidRDefault="007D444F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7D444F" w:rsidRPr="005939D7" w:rsidRDefault="007D444F" w:rsidP="007D444F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04.01.2021, виявлено порушення меж діля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ки: частина  нерухомого майна перебуває поза межами земельного відведення, що порушує   вимоги ст. 15 Закону України «Про оренду землі»</w:t>
            </w:r>
          </w:p>
        </w:tc>
      </w:tr>
      <w:tr w:rsidR="009E3704" w:rsidRPr="005939D7" w:rsidTr="007D444F">
        <w:trPr>
          <w:trHeight w:val="2414"/>
        </w:trPr>
        <w:tc>
          <w:tcPr>
            <w:tcW w:w="709" w:type="dxa"/>
          </w:tcPr>
          <w:p w:rsidR="009E3704" w:rsidRPr="005939D7" w:rsidRDefault="009E3704" w:rsidP="005D118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  <w:r w:rsidR="005D1188"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Громадянка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Коваленко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Лариса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</w:t>
            </w:r>
          </w:p>
          <w:p w:rsidR="007D444F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дянам у власність земел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 для будівни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тва та обслуговування житлового будинку, го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подарських  будівель і споруд</w:t>
            </w:r>
            <w:r w:rsidR="007D444F"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(присадибна</w:t>
            </w:r>
          </w:p>
          <w:p w:rsidR="003F149C" w:rsidRPr="005939D7" w:rsidRDefault="007D444F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ділянка), ведення саді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ництва, будівництва інд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відуального</w:t>
            </w:r>
          </w:p>
          <w:p w:rsidR="003F149C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гаража»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(земельна ділянка на вул. Комерційній,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гараж №2 в, Центрально-Міському районі, для</w:t>
            </w:r>
          </w:p>
          <w:p w:rsidR="007D444F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розміщення існуючого </w:t>
            </w:r>
          </w:p>
          <w:p w:rsidR="009E3704" w:rsidRPr="005939D7" w:rsidRDefault="007D444F" w:rsidP="007D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гаража)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Надійшло</w:t>
            </w:r>
          </w:p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поштовим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1. Відповідно до інформаційної картки адміністр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тивної послуги №4 вичерпний перелік документів передбачає витяг з Державного земельного када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тру про земельну ділянку з визначеним кадастр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вим номером, що підтверджує факт державної 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єстрації цієї земельної ділянки в Державному з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мельному кадастрі, акт обстеження зелених нас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джень та документ, що підтверджує здійснення сплати відновної вартості зелених насаджень або що дерева посаджені особисто заявником</w:t>
            </w:r>
            <w:r w:rsidR="007D444F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.</w:t>
            </w:r>
          </w:p>
          <w:p w:rsidR="003F149C" w:rsidRPr="005939D7" w:rsidRDefault="003F149C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2. У наданому на розгляд пакеті документів відс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у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тній витяг з Державного земельного кадастру на земельну ділянку на вул. Комерційній, гараж №2 в Центрально-Міському районі.</w:t>
            </w:r>
          </w:p>
          <w:p w:rsidR="003F149C" w:rsidRPr="005939D7" w:rsidRDefault="003F149C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3. У проекті землеустрою щодо відведення зем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льної ділянки відсутній кадастровий номер зем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льної ділянки.</w:t>
            </w:r>
          </w:p>
          <w:p w:rsidR="003F149C" w:rsidRPr="005939D7" w:rsidRDefault="003F149C" w:rsidP="003F149C">
            <w:pPr>
              <w:tabs>
                <w:tab w:val="left" w:pos="0"/>
                <w:tab w:val="left" w:pos="283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4. У наданих на розгляд документах відсутній акт обстеження зелених насаджень та документ, що підтверджує здійснення сплати  відновної вартості зелених насаджень, розташованих на земельній ділянці, або що вони виконані заявником особи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то, що порушує вимоги п. 11  Постанови  Кабінету Міністрів України від 01 серпня 2006 року   №1045 «Про </w:t>
            </w:r>
            <w:proofErr w:type="spellStart"/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затвердженняПорядку</w:t>
            </w:r>
            <w:proofErr w:type="spellEnd"/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видалення дерев, кущів, газонів і квітників у населених пун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тах», зі змінами.</w:t>
            </w:r>
          </w:p>
          <w:p w:rsidR="007D444F" w:rsidRPr="005939D7" w:rsidRDefault="003F149C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5. Відповідно до ст. 28 Закону України «Про землеу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трій» розробники документації із землеустрою несуть згідно із законом відповідальність за достовірність, якість і безпеку заходів, передбачених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нею</w:t>
            </w:r>
          </w:p>
        </w:tc>
      </w:tr>
    </w:tbl>
    <w:p w:rsidR="009E3704" w:rsidRPr="005939D7" w:rsidRDefault="009E3704" w:rsidP="009E3704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9E3704" w:rsidRPr="005939D7" w:rsidTr="007D444F">
        <w:trPr>
          <w:trHeight w:val="281"/>
        </w:trPr>
        <w:tc>
          <w:tcPr>
            <w:tcW w:w="709" w:type="dxa"/>
          </w:tcPr>
          <w:p w:rsidR="009E3704" w:rsidRPr="005939D7" w:rsidRDefault="009E3704" w:rsidP="007D444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9E3704" w:rsidRPr="005939D7" w:rsidTr="007D444F">
        <w:trPr>
          <w:trHeight w:val="60"/>
        </w:trPr>
        <w:tc>
          <w:tcPr>
            <w:tcW w:w="709" w:type="dxa"/>
          </w:tcPr>
          <w:p w:rsidR="009E3704" w:rsidRPr="005939D7" w:rsidRDefault="009E3704" w:rsidP="005D118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  <w:r w:rsidR="005D1188"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Громадянин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Томілін</w:t>
            </w:r>
            <w:proofErr w:type="spellEnd"/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Валерій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</w:t>
            </w:r>
          </w:p>
          <w:p w:rsidR="003F149C" w:rsidRPr="005939D7" w:rsidRDefault="009E3704" w:rsidP="003F14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дянам у власність земел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 для будівни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тва та обслуговування житлового будинку, го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подарських будівель і споруд</w:t>
            </w:r>
            <w:r w:rsidR="003F149C"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(присадибна </w:t>
            </w:r>
          </w:p>
          <w:p w:rsidR="003F149C" w:rsidRPr="005939D7" w:rsidRDefault="003F149C" w:rsidP="003F14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ділянка), ведення садівн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цтва, будівництва індив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дуального гаража» </w:t>
            </w:r>
          </w:p>
          <w:p w:rsidR="003F149C" w:rsidRPr="005939D7" w:rsidRDefault="003F149C" w:rsidP="003F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3F149C" w:rsidRPr="005939D7" w:rsidRDefault="003F149C" w:rsidP="003F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Комерційній, 5,</w:t>
            </w:r>
          </w:p>
          <w:p w:rsidR="003F149C" w:rsidRPr="005939D7" w:rsidRDefault="003F149C" w:rsidP="003F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гараж №5г, у Централ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но-Міському районі, для </w:t>
            </w:r>
          </w:p>
          <w:p w:rsidR="003F149C" w:rsidRPr="005939D7" w:rsidRDefault="003F149C" w:rsidP="003F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існуючого </w:t>
            </w:r>
          </w:p>
          <w:p w:rsidR="009E3704" w:rsidRPr="005939D7" w:rsidRDefault="003F149C" w:rsidP="003F14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гаража)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Надійшло</w:t>
            </w:r>
          </w:p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поштовим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1. Відповідно до інформаційної картки адміністр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тивної послуги №4 вичерпний перелік документів передбачає витяг з Державного земельного када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тру про земельну ділянку з визначеним кадастр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вим номером, що підтверджує факт державної   реєстрації цієї земельної ділянки в Державному земельному кадастрі, акт обстеження зелених   насаджень та документ, що підтверджує здійсне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н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ня сплати відновної вартості зелених насаджень або що дерева посаджені особисто заявником.</w:t>
            </w:r>
          </w:p>
          <w:p w:rsidR="003F149C" w:rsidRPr="005939D7" w:rsidRDefault="009E3704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2. У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наданому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на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розгляд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пакеті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документів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 відс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у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тній витяг з Державного земельного кадастру на земельну ділянку на вул. Комерційній, 5,      гараж №5г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uk-UA"/>
              </w:rPr>
              <w:t xml:space="preserve"> у Центрально-Міському районі.</w:t>
            </w:r>
          </w:p>
          <w:p w:rsidR="003F149C" w:rsidRPr="005939D7" w:rsidRDefault="003F149C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Style w:val="FontStyle17"/>
                <w:lang w:val="uk-UA"/>
              </w:rPr>
              <w:t xml:space="preserve">3.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У проекті землеустрою щодо відведення зем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льної ділянки відсутній кадастровий номер зем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льної ділянки.</w:t>
            </w:r>
          </w:p>
          <w:p w:rsidR="003F149C" w:rsidRPr="005939D7" w:rsidRDefault="003F149C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4. У наданих на розгляд документах відсутній акт обстеження зелених насаджень та документ, що підтверджує здійснення сплати  відновної вартості зелених насаджень, розташованих на земельній ділянці, або що вони виконані заявником особи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то, що порушує вимоги п. 11  Постанови  Кабінету Міністрів  України  від  01  серпня  2006  року №1045 «Про затвердження Порядку видалення дерев, кущів, газонів і квітників у населених пун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тах», зі змінами.</w:t>
            </w:r>
          </w:p>
          <w:p w:rsidR="009E3704" w:rsidRPr="005939D7" w:rsidRDefault="003F149C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5. Відповідно до ст. 28 Закону України «Про зе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леустрій» розробники документації із землеустрою несуть згідно із законом відповідальність за дост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вірність, якість і безпеку заходів, передбачених нею</w:t>
            </w:r>
          </w:p>
        </w:tc>
      </w:tr>
    </w:tbl>
    <w:p w:rsidR="009E3704" w:rsidRPr="005939D7" w:rsidRDefault="009E3704" w:rsidP="009E3704">
      <w:pPr>
        <w:rPr>
          <w:b/>
          <w:i/>
          <w:szCs w:val="20"/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9E3704" w:rsidRPr="005939D7" w:rsidTr="007D444F">
        <w:trPr>
          <w:trHeight w:val="60"/>
        </w:trPr>
        <w:tc>
          <w:tcPr>
            <w:tcW w:w="709" w:type="dxa"/>
          </w:tcPr>
          <w:p w:rsidR="009E3704" w:rsidRPr="005939D7" w:rsidRDefault="009E3704" w:rsidP="007D444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9E3704" w:rsidRPr="005939D7" w:rsidTr="007D444F">
        <w:trPr>
          <w:trHeight w:val="128"/>
        </w:trPr>
        <w:tc>
          <w:tcPr>
            <w:tcW w:w="709" w:type="dxa"/>
          </w:tcPr>
          <w:p w:rsidR="009E3704" w:rsidRPr="005939D7" w:rsidRDefault="009E3704" w:rsidP="005D118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  <w:r w:rsidR="005D1188"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Громадянин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Турко</w:t>
            </w:r>
            <w:proofErr w:type="spellEnd"/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Георгій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</w:t>
            </w:r>
          </w:p>
          <w:p w:rsidR="003F149C" w:rsidRPr="005939D7" w:rsidRDefault="009E3704" w:rsidP="003F14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дянам у власність земел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 для будівни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тва та обслуговування житлового будинку, го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подарських будівель і споруд (присадибна діл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нка), ведення садівництва, будівництва </w:t>
            </w:r>
            <w:r w:rsidR="003F149C"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</w:t>
            </w:r>
            <w:r w:rsidR="003F149C"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3F149C"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ного гаража»</w:t>
            </w:r>
          </w:p>
          <w:p w:rsidR="003F149C" w:rsidRPr="005939D7" w:rsidRDefault="003F149C" w:rsidP="003F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9E3704" w:rsidRPr="005939D7" w:rsidRDefault="003F149C" w:rsidP="003F14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Кокчетавській, 3г у </w:t>
            </w:r>
            <w:proofErr w:type="spellStart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Pr="0059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районі, для розміщення існуючого гаража)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Надійшло</w:t>
            </w:r>
          </w:p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поштовим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1. Відповідно до інформаційної картки адміністр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тивної послуги №4 вичерпний перелік документів передбачає витяг з Державного земельного када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тру про земельну ділянку з визначеним кадастр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вим номером, що підтверджує факт державної   реєстрації цієї земельної ділянки в Державному земельному кадастрі, акт обстеження зелених н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саджень та документ, що підтверджує здійснення сплати відновної вартості зелених насаджень або що дерева посаджені особисто заявником.</w:t>
            </w:r>
          </w:p>
          <w:p w:rsidR="003F149C" w:rsidRPr="005939D7" w:rsidRDefault="009E3704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2. У наданому на розгляд пакеті документів відс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у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тній витяг з Державного земельного кадастру на 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земельну ділянку на вул. Кокчетавській, 3г</w:t>
            </w:r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uk-UA"/>
              </w:rPr>
              <w:t xml:space="preserve"> у       </w:t>
            </w:r>
            <w:proofErr w:type="spellStart"/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="003F149C" w:rsidRPr="005939D7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uk-UA"/>
              </w:rPr>
              <w:t xml:space="preserve"> районі.</w:t>
            </w:r>
          </w:p>
          <w:p w:rsidR="003F149C" w:rsidRPr="005939D7" w:rsidRDefault="003F149C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Style w:val="FontStyle17"/>
                <w:lang w:val="uk-UA"/>
              </w:rPr>
              <w:t xml:space="preserve">3. 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У проекті землеустрою щодо відведення зем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льної ділянки відсутній кадастровий номер зем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льної ділянки.</w:t>
            </w:r>
          </w:p>
          <w:p w:rsidR="003F149C" w:rsidRPr="005939D7" w:rsidRDefault="003F149C" w:rsidP="003F149C">
            <w:pPr>
              <w:tabs>
                <w:tab w:val="left" w:pos="0"/>
                <w:tab w:val="left" w:pos="283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4. У наданих на розгляд документах відсутній акт обстеження зелених насаджень та документ, що підтверджує здійснення сплати  відновної вартості зелених насаджень, розташованих на земельній ділянці, або що вони виконані заявником особи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то, що порушує вимоги п. 11  Постанови  Кабінету Міністрів  України  від  01  серпня  2006  року №1045 «Про затвердження Порядку видалення дерев, кущів, газонів і квітників у населених пун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тах», зі змінами.</w:t>
            </w:r>
          </w:p>
          <w:p w:rsidR="009E3704" w:rsidRPr="005939D7" w:rsidRDefault="003F149C" w:rsidP="003F149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5. Відповідно до ст. 28 Закону України «Про   зе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леустрій»    розробники    документації  із землеу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трою несуть згідно із законом відповідальність за достовірність, якість і безпеку заходів, передбач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</w:t>
            </w:r>
            <w:r w:rsidRPr="005939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них нею</w:t>
            </w:r>
          </w:p>
          <w:p w:rsidR="003F149C" w:rsidRPr="005939D7" w:rsidRDefault="003F149C" w:rsidP="003F149C">
            <w:pPr>
              <w:jc w:val="both"/>
              <w:rPr>
                <w:rStyle w:val="FontStyle17"/>
                <w:color w:val="000000" w:themeColor="text1"/>
                <w:spacing w:val="-2"/>
                <w:lang w:val="uk-UA"/>
              </w:rPr>
            </w:pPr>
          </w:p>
        </w:tc>
      </w:tr>
      <w:tr w:rsidR="009E3704" w:rsidRPr="005939D7" w:rsidTr="007D444F">
        <w:trPr>
          <w:trHeight w:val="184"/>
        </w:trPr>
        <w:tc>
          <w:tcPr>
            <w:tcW w:w="709" w:type="dxa"/>
          </w:tcPr>
          <w:p w:rsidR="009E3704" w:rsidRPr="005939D7" w:rsidRDefault="009E3704" w:rsidP="007D444F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39D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6</w:t>
            </w:r>
          </w:p>
        </w:tc>
      </w:tr>
      <w:tr w:rsidR="009E3704" w:rsidRPr="005939D7" w:rsidTr="007D444F">
        <w:trPr>
          <w:trHeight w:val="60"/>
        </w:trPr>
        <w:tc>
          <w:tcPr>
            <w:tcW w:w="709" w:type="dxa"/>
          </w:tcPr>
          <w:p w:rsidR="009E3704" w:rsidRPr="005939D7" w:rsidRDefault="009E3704" w:rsidP="005D118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  <w:r w:rsidR="005D1188"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Громадянин </w:t>
            </w:r>
          </w:p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Титов</w:t>
            </w:r>
            <w:proofErr w:type="spellEnd"/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Сергій</w:t>
            </w:r>
          </w:p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дянам у власність земел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 для будівни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тва та обслуговування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житлового будинку, го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подарських будівель і споруд (присадибна діл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нка), ведення садівництва, будівництва індивідуал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ного гаража»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[земельна ділянка на </w:t>
            </w:r>
          </w:p>
          <w:p w:rsidR="003F149C" w:rsidRPr="005939D7" w:rsidRDefault="009E3704" w:rsidP="003F14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Святоандріївській</w:t>
            </w:r>
            <w:proofErr w:type="spellEnd"/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, 1в</w:t>
            </w:r>
            <w:r w:rsidR="003F149C"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у Покровському районі, для будівництва та обсл</w:t>
            </w:r>
            <w:r w:rsidR="003F149C"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F149C"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говування житлового</w:t>
            </w:r>
          </w:p>
          <w:p w:rsidR="003F149C" w:rsidRPr="005939D7" w:rsidRDefault="003F149C" w:rsidP="003F14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будинку, господарських будівель і споруд </w:t>
            </w:r>
          </w:p>
          <w:p w:rsidR="009E3704" w:rsidRPr="005939D7" w:rsidRDefault="003F149C" w:rsidP="003F14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(присадибна ділянка)]</w:t>
            </w:r>
            <w:r w:rsidR="009E3704"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ind w:left="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, </w:t>
            </w:r>
          </w:p>
          <w:p w:rsidR="009E3704" w:rsidRPr="005939D7" w:rsidRDefault="009E3704" w:rsidP="007D444F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Надійшло</w:t>
            </w:r>
          </w:p>
          <w:p w:rsidR="009E3704" w:rsidRPr="005939D7" w:rsidRDefault="009E3704" w:rsidP="007D44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поштовим</w:t>
            </w:r>
          </w:p>
          <w:p w:rsidR="009E3704" w:rsidRPr="005939D7" w:rsidRDefault="009E3704" w:rsidP="007D444F">
            <w:pPr>
              <w:pStyle w:val="af0"/>
              <w:spacing w:before="0" w:beforeAutospacing="0" w:after="0" w:afterAutospacing="0"/>
              <w:jc w:val="center"/>
              <w:rPr>
                <w:spacing w:val="-2"/>
                <w:lang w:val="uk-UA"/>
              </w:rPr>
            </w:pPr>
            <w:r w:rsidRPr="005939D7">
              <w:rPr>
                <w:rStyle w:val="rvts0"/>
                <w:color w:val="000000" w:themeColor="text1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pStyle w:val="af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39D7">
              <w:rPr>
                <w:spacing w:val="-2"/>
                <w:lang w:val="uk-UA"/>
              </w:rPr>
              <w:t>1. Відповідно до інформаційної картки адміністр</w:t>
            </w:r>
            <w:r w:rsidRPr="005939D7">
              <w:rPr>
                <w:spacing w:val="-2"/>
                <w:lang w:val="uk-UA"/>
              </w:rPr>
              <w:t>а</w:t>
            </w:r>
            <w:r w:rsidRPr="005939D7">
              <w:rPr>
                <w:spacing w:val="-2"/>
                <w:lang w:val="uk-UA"/>
              </w:rPr>
              <w:t xml:space="preserve">тивної послуги №4 вичерпний перелік документів передбачає </w:t>
            </w:r>
            <w:r w:rsidRPr="005939D7">
              <w:rPr>
                <w:color w:val="000000"/>
                <w:lang w:val="uk-UA"/>
              </w:rPr>
              <w:t>заяву визначеного зразка, витяг з Державного земельного кадастру про земельну ділянку, з визначеним кадастровим номером,  що підтверджує факт  державної  реєстрації  цієї д</w:t>
            </w:r>
            <w:r w:rsidRPr="005939D7">
              <w:rPr>
                <w:color w:val="000000"/>
                <w:lang w:val="uk-UA"/>
              </w:rPr>
              <w:t>і</w:t>
            </w:r>
            <w:r w:rsidRPr="005939D7">
              <w:rPr>
                <w:color w:val="000000"/>
                <w:lang w:val="uk-UA"/>
              </w:rPr>
              <w:t>лянки в Державному земельному кадастрі</w:t>
            </w:r>
            <w:r w:rsidRPr="005939D7">
              <w:rPr>
                <w:lang w:val="uk-UA"/>
              </w:rPr>
              <w:t xml:space="preserve">, </w:t>
            </w:r>
            <w:r w:rsidRPr="005939D7">
              <w:rPr>
                <w:color w:val="000000"/>
                <w:lang w:val="uk-UA"/>
              </w:rPr>
              <w:t>проект землеустрою щодо відведення земельної ділянки, акт обстеження зелених насаджень та документ, що підтверджує здійснення сплати відновної    вартості зелених насаджень, або що дерева      посаджені особисто заявником.</w:t>
            </w:r>
          </w:p>
          <w:p w:rsidR="009E3704" w:rsidRPr="005939D7" w:rsidRDefault="009E3704" w:rsidP="007D444F">
            <w:pPr>
              <w:pStyle w:val="af0"/>
              <w:spacing w:before="0" w:beforeAutospacing="0" w:after="0" w:afterAutospacing="0"/>
              <w:jc w:val="both"/>
              <w:rPr>
                <w:spacing w:val="-2"/>
                <w:lang w:val="uk-UA"/>
              </w:rPr>
            </w:pPr>
            <w:r w:rsidRPr="005939D7">
              <w:rPr>
                <w:color w:val="000000"/>
                <w:lang w:val="uk-UA"/>
              </w:rPr>
              <w:t>2. Перераховані в п. 1 документи відсутні</w:t>
            </w:r>
          </w:p>
        </w:tc>
      </w:tr>
      <w:tr w:rsidR="009E3704" w:rsidRPr="005939D7" w:rsidTr="007D444F">
        <w:trPr>
          <w:trHeight w:val="60"/>
        </w:trPr>
        <w:tc>
          <w:tcPr>
            <w:tcW w:w="709" w:type="dxa"/>
          </w:tcPr>
          <w:p w:rsidR="009E3704" w:rsidRPr="005939D7" w:rsidRDefault="009E3704" w:rsidP="005D118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  <w:r w:rsidR="005D1188" w:rsidRPr="005939D7">
              <w:rPr>
                <w:b w:val="0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Товариство</w:t>
            </w:r>
          </w:p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обмеженою</w:t>
            </w:r>
          </w:p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відповідальністю</w:t>
            </w:r>
          </w:p>
          <w:p w:rsidR="009E3704" w:rsidRPr="005939D7" w:rsidRDefault="009E3704" w:rsidP="007D444F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«Фірма «Альфа ЛТД»</w:t>
            </w:r>
          </w:p>
        </w:tc>
        <w:tc>
          <w:tcPr>
            <w:tcW w:w="2977" w:type="dxa"/>
          </w:tcPr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№22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«Унесення змін до раніше ухвалених рішень міської ради у сферах містобуд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вання та  землекорист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вання» (земельна ділянка на вул. Ферганській, 41 у Металургійному районі, для розміщення </w:t>
            </w:r>
          </w:p>
          <w:p w:rsidR="009E3704" w:rsidRPr="005939D7" w:rsidRDefault="009E3704" w:rsidP="007D44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господарського двору)</w:t>
            </w:r>
          </w:p>
        </w:tc>
        <w:tc>
          <w:tcPr>
            <w:tcW w:w="2268" w:type="dxa"/>
          </w:tcPr>
          <w:p w:rsidR="009E3704" w:rsidRPr="005939D7" w:rsidRDefault="009E3704" w:rsidP="007D444F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  <w:r w:rsidRPr="005939D7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, 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9E3704" w:rsidRPr="005939D7" w:rsidRDefault="009E3704" w:rsidP="007D444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9E3704" w:rsidRPr="005939D7" w:rsidRDefault="009E3704" w:rsidP="007D444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593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</w:t>
            </w:r>
          </w:p>
          <w:p w:rsidR="009E3704" w:rsidRPr="005939D7" w:rsidRDefault="009E3704" w:rsidP="007D444F">
            <w:pPr>
              <w:pStyle w:val="af0"/>
              <w:spacing w:before="0" w:beforeAutospacing="0" w:after="0" w:afterAutospacing="0"/>
              <w:ind w:left="-20"/>
              <w:jc w:val="center"/>
              <w:rPr>
                <w:color w:val="000000"/>
                <w:lang w:val="uk-UA"/>
              </w:rPr>
            </w:pPr>
            <w:r w:rsidRPr="005939D7">
              <w:rPr>
                <w:bCs/>
                <w:color w:val="000000" w:themeColor="text1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9E3704" w:rsidRPr="005939D7" w:rsidRDefault="009E3704" w:rsidP="007D444F">
            <w:pPr>
              <w:pStyle w:val="af0"/>
              <w:spacing w:before="0" w:beforeAutospacing="0" w:after="0" w:afterAutospacing="0"/>
              <w:ind w:left="-20"/>
              <w:jc w:val="both"/>
              <w:rPr>
                <w:color w:val="000000"/>
                <w:lang w:val="uk-UA"/>
              </w:rPr>
            </w:pPr>
            <w:r w:rsidRPr="005939D7">
              <w:rPr>
                <w:color w:val="000000"/>
                <w:lang w:val="uk-UA"/>
              </w:rPr>
              <w:t xml:space="preserve"> Відсутні документи, що підтверджують необхі</w:t>
            </w:r>
            <w:r w:rsidRPr="005939D7">
              <w:rPr>
                <w:color w:val="000000"/>
                <w:lang w:val="uk-UA"/>
              </w:rPr>
              <w:t>д</w:t>
            </w:r>
            <w:r w:rsidRPr="005939D7">
              <w:rPr>
                <w:color w:val="000000"/>
                <w:lang w:val="uk-UA"/>
              </w:rPr>
              <w:t>ність унесення змін до рішення міської ради, п</w:t>
            </w:r>
            <w:r w:rsidRPr="005939D7">
              <w:rPr>
                <w:color w:val="000000"/>
                <w:lang w:val="uk-UA"/>
              </w:rPr>
              <w:t>е</w:t>
            </w:r>
            <w:r w:rsidRPr="005939D7">
              <w:rPr>
                <w:color w:val="000000"/>
                <w:lang w:val="uk-UA"/>
              </w:rPr>
              <w:t xml:space="preserve">редбачені </w:t>
            </w:r>
            <w:r w:rsidRPr="005939D7">
              <w:rPr>
                <w:color w:val="000000" w:themeColor="text1"/>
                <w:spacing w:val="-2"/>
                <w:lang w:val="uk-UA"/>
              </w:rPr>
              <w:t>інформаційною карткою адміністрати</w:t>
            </w:r>
            <w:r w:rsidRPr="005939D7">
              <w:rPr>
                <w:color w:val="000000" w:themeColor="text1"/>
                <w:spacing w:val="-2"/>
                <w:lang w:val="uk-UA"/>
              </w:rPr>
              <w:t>в</w:t>
            </w:r>
            <w:r w:rsidRPr="005939D7">
              <w:rPr>
                <w:color w:val="000000" w:themeColor="text1"/>
                <w:spacing w:val="-2"/>
                <w:lang w:val="uk-UA"/>
              </w:rPr>
              <w:t>ної послуги №22</w:t>
            </w:r>
          </w:p>
        </w:tc>
      </w:tr>
    </w:tbl>
    <w:p w:rsidR="004B0B02" w:rsidRPr="005939D7" w:rsidRDefault="004B0B02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8D229E" w:rsidRPr="005939D7" w:rsidRDefault="00D47A9B" w:rsidP="00BF11D2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5939D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5939D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  <w:bookmarkEnd w:id="0"/>
    </w:p>
    <w:sectPr w:rsidR="008D229E" w:rsidRPr="005939D7" w:rsidSect="00D82191">
      <w:headerReference w:type="default" r:id="rId11"/>
      <w:pgSz w:w="16838" w:h="11906" w:orient="landscape"/>
      <w:pgMar w:top="709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F2" w:rsidRDefault="00217EF2" w:rsidP="00965113">
      <w:pPr>
        <w:spacing w:after="0" w:line="240" w:lineRule="auto"/>
      </w:pPr>
      <w:r>
        <w:separator/>
      </w:r>
    </w:p>
  </w:endnote>
  <w:endnote w:type="continuationSeparator" w:id="0">
    <w:p w:rsidR="00217EF2" w:rsidRDefault="00217EF2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F2" w:rsidRDefault="00217EF2" w:rsidP="00965113">
      <w:pPr>
        <w:spacing w:after="0" w:line="240" w:lineRule="auto"/>
      </w:pPr>
      <w:r>
        <w:separator/>
      </w:r>
    </w:p>
  </w:footnote>
  <w:footnote w:type="continuationSeparator" w:id="0">
    <w:p w:rsidR="00217EF2" w:rsidRDefault="00217EF2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24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444F" w:rsidRPr="00965113" w:rsidRDefault="007D444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9D7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444F" w:rsidRPr="00C045C1" w:rsidRDefault="007D444F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00B5"/>
    <w:rsid w:val="000020F7"/>
    <w:rsid w:val="00006270"/>
    <w:rsid w:val="00007FD2"/>
    <w:rsid w:val="0002052D"/>
    <w:rsid w:val="000215BE"/>
    <w:rsid w:val="00021784"/>
    <w:rsid w:val="0002339C"/>
    <w:rsid w:val="00024688"/>
    <w:rsid w:val="000254AB"/>
    <w:rsid w:val="00027810"/>
    <w:rsid w:val="0003051C"/>
    <w:rsid w:val="000310DA"/>
    <w:rsid w:val="0003257E"/>
    <w:rsid w:val="000329A9"/>
    <w:rsid w:val="000342DC"/>
    <w:rsid w:val="00035B26"/>
    <w:rsid w:val="000374CB"/>
    <w:rsid w:val="00037EAA"/>
    <w:rsid w:val="00037EFB"/>
    <w:rsid w:val="00041EAA"/>
    <w:rsid w:val="0004614F"/>
    <w:rsid w:val="00046701"/>
    <w:rsid w:val="00046DB8"/>
    <w:rsid w:val="00050C8F"/>
    <w:rsid w:val="000526BA"/>
    <w:rsid w:val="0005344D"/>
    <w:rsid w:val="000538C7"/>
    <w:rsid w:val="0005433E"/>
    <w:rsid w:val="000555C7"/>
    <w:rsid w:val="000566AF"/>
    <w:rsid w:val="000622DC"/>
    <w:rsid w:val="00063406"/>
    <w:rsid w:val="00065A4A"/>
    <w:rsid w:val="00065E65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440F"/>
    <w:rsid w:val="000A47E3"/>
    <w:rsid w:val="000A621B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7BBA"/>
    <w:rsid w:val="000D1B51"/>
    <w:rsid w:val="000D43ED"/>
    <w:rsid w:val="000D5BDD"/>
    <w:rsid w:val="000E0B5C"/>
    <w:rsid w:val="000E0FF0"/>
    <w:rsid w:val="000E3DD8"/>
    <w:rsid w:val="000E4E53"/>
    <w:rsid w:val="000E5258"/>
    <w:rsid w:val="000E5F6C"/>
    <w:rsid w:val="000E6E9C"/>
    <w:rsid w:val="000F0CA9"/>
    <w:rsid w:val="000F1094"/>
    <w:rsid w:val="000F1A91"/>
    <w:rsid w:val="000F2EE6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58C8"/>
    <w:rsid w:val="00167718"/>
    <w:rsid w:val="00173171"/>
    <w:rsid w:val="001732FA"/>
    <w:rsid w:val="001735CE"/>
    <w:rsid w:val="00176A2E"/>
    <w:rsid w:val="00177822"/>
    <w:rsid w:val="00181A98"/>
    <w:rsid w:val="0018278B"/>
    <w:rsid w:val="001832BF"/>
    <w:rsid w:val="00186D91"/>
    <w:rsid w:val="0019185C"/>
    <w:rsid w:val="00191E11"/>
    <w:rsid w:val="001920A5"/>
    <w:rsid w:val="001922EF"/>
    <w:rsid w:val="00193DD0"/>
    <w:rsid w:val="00195D59"/>
    <w:rsid w:val="0019628D"/>
    <w:rsid w:val="001A01A2"/>
    <w:rsid w:val="001A03E0"/>
    <w:rsid w:val="001A582A"/>
    <w:rsid w:val="001A6936"/>
    <w:rsid w:val="001A73AE"/>
    <w:rsid w:val="001A74A8"/>
    <w:rsid w:val="001A7F2C"/>
    <w:rsid w:val="001B33F8"/>
    <w:rsid w:val="001B484A"/>
    <w:rsid w:val="001B576B"/>
    <w:rsid w:val="001B586E"/>
    <w:rsid w:val="001B6029"/>
    <w:rsid w:val="001C1856"/>
    <w:rsid w:val="001C2B59"/>
    <w:rsid w:val="001C4620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3B10"/>
    <w:rsid w:val="001F5B78"/>
    <w:rsid w:val="001F651E"/>
    <w:rsid w:val="00200493"/>
    <w:rsid w:val="00200795"/>
    <w:rsid w:val="00202C28"/>
    <w:rsid w:val="00202E5A"/>
    <w:rsid w:val="00204BF1"/>
    <w:rsid w:val="00205A76"/>
    <w:rsid w:val="002079D4"/>
    <w:rsid w:val="00207D66"/>
    <w:rsid w:val="0021101F"/>
    <w:rsid w:val="0021252D"/>
    <w:rsid w:val="00217EF2"/>
    <w:rsid w:val="002207ED"/>
    <w:rsid w:val="0022152C"/>
    <w:rsid w:val="00221FF4"/>
    <w:rsid w:val="00222E8E"/>
    <w:rsid w:val="00223911"/>
    <w:rsid w:val="00226B8E"/>
    <w:rsid w:val="00227A9C"/>
    <w:rsid w:val="00232AC6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5146"/>
    <w:rsid w:val="00280E63"/>
    <w:rsid w:val="00280F74"/>
    <w:rsid w:val="00281403"/>
    <w:rsid w:val="00281BDF"/>
    <w:rsid w:val="0028234A"/>
    <w:rsid w:val="00283598"/>
    <w:rsid w:val="00284280"/>
    <w:rsid w:val="00284A56"/>
    <w:rsid w:val="002850F3"/>
    <w:rsid w:val="0029079A"/>
    <w:rsid w:val="00291D29"/>
    <w:rsid w:val="002920B0"/>
    <w:rsid w:val="002937B3"/>
    <w:rsid w:val="00293D94"/>
    <w:rsid w:val="00295D07"/>
    <w:rsid w:val="0029789D"/>
    <w:rsid w:val="002A17C1"/>
    <w:rsid w:val="002A4982"/>
    <w:rsid w:val="002A5A9D"/>
    <w:rsid w:val="002A5AF0"/>
    <w:rsid w:val="002A699C"/>
    <w:rsid w:val="002A78D8"/>
    <w:rsid w:val="002A7C5E"/>
    <w:rsid w:val="002B0EF3"/>
    <w:rsid w:val="002B1907"/>
    <w:rsid w:val="002B1F24"/>
    <w:rsid w:val="002B2230"/>
    <w:rsid w:val="002B3AFD"/>
    <w:rsid w:val="002B4946"/>
    <w:rsid w:val="002B5844"/>
    <w:rsid w:val="002B5F2A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6070"/>
    <w:rsid w:val="002C633E"/>
    <w:rsid w:val="002C68BE"/>
    <w:rsid w:val="002C6D1F"/>
    <w:rsid w:val="002D0556"/>
    <w:rsid w:val="002D1310"/>
    <w:rsid w:val="002D13DA"/>
    <w:rsid w:val="002D2307"/>
    <w:rsid w:val="002D3518"/>
    <w:rsid w:val="002D4A3F"/>
    <w:rsid w:val="002D535F"/>
    <w:rsid w:val="002D61AD"/>
    <w:rsid w:val="002D73CC"/>
    <w:rsid w:val="002D7C60"/>
    <w:rsid w:val="002E0EDF"/>
    <w:rsid w:val="002E2BE0"/>
    <w:rsid w:val="002E42CB"/>
    <w:rsid w:val="002E63BC"/>
    <w:rsid w:val="002E7CA2"/>
    <w:rsid w:val="002F1470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6056"/>
    <w:rsid w:val="00306767"/>
    <w:rsid w:val="003069A8"/>
    <w:rsid w:val="003071CC"/>
    <w:rsid w:val="003115EE"/>
    <w:rsid w:val="00313B8A"/>
    <w:rsid w:val="003162B5"/>
    <w:rsid w:val="003203DC"/>
    <w:rsid w:val="003217F6"/>
    <w:rsid w:val="00321E86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46CC"/>
    <w:rsid w:val="00345F86"/>
    <w:rsid w:val="0034646B"/>
    <w:rsid w:val="00346F33"/>
    <w:rsid w:val="003515DE"/>
    <w:rsid w:val="00351634"/>
    <w:rsid w:val="003534C9"/>
    <w:rsid w:val="0035363C"/>
    <w:rsid w:val="00356E50"/>
    <w:rsid w:val="00357F17"/>
    <w:rsid w:val="00360AAA"/>
    <w:rsid w:val="003631D7"/>
    <w:rsid w:val="003647FD"/>
    <w:rsid w:val="003654DC"/>
    <w:rsid w:val="0036559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6E26"/>
    <w:rsid w:val="003771EC"/>
    <w:rsid w:val="00377452"/>
    <w:rsid w:val="00377611"/>
    <w:rsid w:val="00380058"/>
    <w:rsid w:val="00380351"/>
    <w:rsid w:val="00380391"/>
    <w:rsid w:val="003811CA"/>
    <w:rsid w:val="003813C3"/>
    <w:rsid w:val="00382ED9"/>
    <w:rsid w:val="00383671"/>
    <w:rsid w:val="00383805"/>
    <w:rsid w:val="00384FE9"/>
    <w:rsid w:val="00385038"/>
    <w:rsid w:val="00385E69"/>
    <w:rsid w:val="003864FF"/>
    <w:rsid w:val="003872D1"/>
    <w:rsid w:val="003905BF"/>
    <w:rsid w:val="00392C00"/>
    <w:rsid w:val="003973A0"/>
    <w:rsid w:val="00397DAB"/>
    <w:rsid w:val="003A14A3"/>
    <w:rsid w:val="003A15FD"/>
    <w:rsid w:val="003A47D7"/>
    <w:rsid w:val="003A5901"/>
    <w:rsid w:val="003A5B33"/>
    <w:rsid w:val="003A7329"/>
    <w:rsid w:val="003B0001"/>
    <w:rsid w:val="003B0570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412"/>
    <w:rsid w:val="003C61E7"/>
    <w:rsid w:val="003D0D32"/>
    <w:rsid w:val="003D1230"/>
    <w:rsid w:val="003D1F88"/>
    <w:rsid w:val="003D2478"/>
    <w:rsid w:val="003D3BE2"/>
    <w:rsid w:val="003D6963"/>
    <w:rsid w:val="003D72A6"/>
    <w:rsid w:val="003E139D"/>
    <w:rsid w:val="003E1AAD"/>
    <w:rsid w:val="003E23D4"/>
    <w:rsid w:val="003E2E9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9DB"/>
    <w:rsid w:val="0040357C"/>
    <w:rsid w:val="004035C6"/>
    <w:rsid w:val="00403F30"/>
    <w:rsid w:val="00404EEF"/>
    <w:rsid w:val="00405443"/>
    <w:rsid w:val="0040574C"/>
    <w:rsid w:val="00405BD4"/>
    <w:rsid w:val="00406385"/>
    <w:rsid w:val="004115B8"/>
    <w:rsid w:val="004115EC"/>
    <w:rsid w:val="00414358"/>
    <w:rsid w:val="0041570D"/>
    <w:rsid w:val="00416B87"/>
    <w:rsid w:val="00416C24"/>
    <w:rsid w:val="004173A9"/>
    <w:rsid w:val="00420E07"/>
    <w:rsid w:val="0042345E"/>
    <w:rsid w:val="0042460C"/>
    <w:rsid w:val="00426F64"/>
    <w:rsid w:val="00430393"/>
    <w:rsid w:val="00430769"/>
    <w:rsid w:val="004326B6"/>
    <w:rsid w:val="00433800"/>
    <w:rsid w:val="00433C83"/>
    <w:rsid w:val="004340E3"/>
    <w:rsid w:val="00434131"/>
    <w:rsid w:val="00434409"/>
    <w:rsid w:val="00436FBF"/>
    <w:rsid w:val="00441188"/>
    <w:rsid w:val="00442AB3"/>
    <w:rsid w:val="00443474"/>
    <w:rsid w:val="00444334"/>
    <w:rsid w:val="0044507B"/>
    <w:rsid w:val="00446247"/>
    <w:rsid w:val="00447194"/>
    <w:rsid w:val="00453420"/>
    <w:rsid w:val="00454A18"/>
    <w:rsid w:val="00456328"/>
    <w:rsid w:val="00456FA3"/>
    <w:rsid w:val="0045733E"/>
    <w:rsid w:val="0046303B"/>
    <w:rsid w:val="004643BA"/>
    <w:rsid w:val="00464636"/>
    <w:rsid w:val="00467782"/>
    <w:rsid w:val="00471F53"/>
    <w:rsid w:val="0047231B"/>
    <w:rsid w:val="004725DD"/>
    <w:rsid w:val="004732BE"/>
    <w:rsid w:val="00473F08"/>
    <w:rsid w:val="00475E03"/>
    <w:rsid w:val="0047653B"/>
    <w:rsid w:val="004766B0"/>
    <w:rsid w:val="00477BAA"/>
    <w:rsid w:val="00480586"/>
    <w:rsid w:val="00483395"/>
    <w:rsid w:val="0048405E"/>
    <w:rsid w:val="00484E08"/>
    <w:rsid w:val="00486073"/>
    <w:rsid w:val="0048650E"/>
    <w:rsid w:val="004869A0"/>
    <w:rsid w:val="00486F78"/>
    <w:rsid w:val="0048706B"/>
    <w:rsid w:val="00490597"/>
    <w:rsid w:val="00491D7A"/>
    <w:rsid w:val="00491EBC"/>
    <w:rsid w:val="0049241F"/>
    <w:rsid w:val="00492AEF"/>
    <w:rsid w:val="004974B9"/>
    <w:rsid w:val="004A0BB0"/>
    <w:rsid w:val="004A2724"/>
    <w:rsid w:val="004A299B"/>
    <w:rsid w:val="004A2C1B"/>
    <w:rsid w:val="004A3003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895"/>
    <w:rsid w:val="004D0DDB"/>
    <w:rsid w:val="004D1598"/>
    <w:rsid w:val="004D1D70"/>
    <w:rsid w:val="004D214D"/>
    <w:rsid w:val="004D2FF3"/>
    <w:rsid w:val="004D5A59"/>
    <w:rsid w:val="004D5C73"/>
    <w:rsid w:val="004D665F"/>
    <w:rsid w:val="004E08DA"/>
    <w:rsid w:val="004E0DDC"/>
    <w:rsid w:val="004E19BC"/>
    <w:rsid w:val="004E1B6F"/>
    <w:rsid w:val="004E3928"/>
    <w:rsid w:val="004E3DCA"/>
    <w:rsid w:val="004E4EBB"/>
    <w:rsid w:val="004E4F8C"/>
    <w:rsid w:val="004E5149"/>
    <w:rsid w:val="004E6675"/>
    <w:rsid w:val="004F0FB5"/>
    <w:rsid w:val="004F3C38"/>
    <w:rsid w:val="004F3C59"/>
    <w:rsid w:val="004F4147"/>
    <w:rsid w:val="005003C2"/>
    <w:rsid w:val="00501296"/>
    <w:rsid w:val="00502887"/>
    <w:rsid w:val="00504F5A"/>
    <w:rsid w:val="00505C9F"/>
    <w:rsid w:val="00505D6C"/>
    <w:rsid w:val="00507C20"/>
    <w:rsid w:val="00511ABF"/>
    <w:rsid w:val="0051265B"/>
    <w:rsid w:val="00513840"/>
    <w:rsid w:val="00514249"/>
    <w:rsid w:val="0051567B"/>
    <w:rsid w:val="00515870"/>
    <w:rsid w:val="00516696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408E5"/>
    <w:rsid w:val="0054209D"/>
    <w:rsid w:val="00542363"/>
    <w:rsid w:val="005424D0"/>
    <w:rsid w:val="00543BA9"/>
    <w:rsid w:val="00547C23"/>
    <w:rsid w:val="005514F2"/>
    <w:rsid w:val="00551E04"/>
    <w:rsid w:val="005530D0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FC4"/>
    <w:rsid w:val="00574B1A"/>
    <w:rsid w:val="0058154E"/>
    <w:rsid w:val="0058332C"/>
    <w:rsid w:val="0058345E"/>
    <w:rsid w:val="00583764"/>
    <w:rsid w:val="00583AF3"/>
    <w:rsid w:val="005849EB"/>
    <w:rsid w:val="0059268E"/>
    <w:rsid w:val="00592825"/>
    <w:rsid w:val="00593276"/>
    <w:rsid w:val="005939D7"/>
    <w:rsid w:val="0059525B"/>
    <w:rsid w:val="00596190"/>
    <w:rsid w:val="0059666A"/>
    <w:rsid w:val="00596692"/>
    <w:rsid w:val="005A08FF"/>
    <w:rsid w:val="005A1AF0"/>
    <w:rsid w:val="005A5073"/>
    <w:rsid w:val="005B1655"/>
    <w:rsid w:val="005B5DF3"/>
    <w:rsid w:val="005B65BC"/>
    <w:rsid w:val="005C2816"/>
    <w:rsid w:val="005C3375"/>
    <w:rsid w:val="005C672B"/>
    <w:rsid w:val="005C744B"/>
    <w:rsid w:val="005C7456"/>
    <w:rsid w:val="005D07EC"/>
    <w:rsid w:val="005D0B8E"/>
    <w:rsid w:val="005D1188"/>
    <w:rsid w:val="005D2023"/>
    <w:rsid w:val="005D2105"/>
    <w:rsid w:val="005D30A3"/>
    <w:rsid w:val="005D34A7"/>
    <w:rsid w:val="005D43D4"/>
    <w:rsid w:val="005D48E1"/>
    <w:rsid w:val="005D5BC4"/>
    <w:rsid w:val="005D7C83"/>
    <w:rsid w:val="005E6CBD"/>
    <w:rsid w:val="005E7EE5"/>
    <w:rsid w:val="005F2B05"/>
    <w:rsid w:val="005F374E"/>
    <w:rsid w:val="005F58E7"/>
    <w:rsid w:val="005F5EC8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E83"/>
    <w:rsid w:val="006221A8"/>
    <w:rsid w:val="00623E63"/>
    <w:rsid w:val="00624BBB"/>
    <w:rsid w:val="006258E9"/>
    <w:rsid w:val="0062788B"/>
    <w:rsid w:val="00627C29"/>
    <w:rsid w:val="00627F97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4355"/>
    <w:rsid w:val="00665759"/>
    <w:rsid w:val="00665A98"/>
    <w:rsid w:val="00666475"/>
    <w:rsid w:val="00671003"/>
    <w:rsid w:val="00671DD7"/>
    <w:rsid w:val="0067205C"/>
    <w:rsid w:val="00674A01"/>
    <w:rsid w:val="00675081"/>
    <w:rsid w:val="0067593A"/>
    <w:rsid w:val="006802B1"/>
    <w:rsid w:val="00690607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84"/>
    <w:rsid w:val="006A5A74"/>
    <w:rsid w:val="006A5F64"/>
    <w:rsid w:val="006A629A"/>
    <w:rsid w:val="006B1B4F"/>
    <w:rsid w:val="006B36E3"/>
    <w:rsid w:val="006B4200"/>
    <w:rsid w:val="006B5DAE"/>
    <w:rsid w:val="006B7163"/>
    <w:rsid w:val="006C1449"/>
    <w:rsid w:val="006C46C5"/>
    <w:rsid w:val="006C4C1C"/>
    <w:rsid w:val="006C4E9A"/>
    <w:rsid w:val="006D03F9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3500"/>
    <w:rsid w:val="006E557F"/>
    <w:rsid w:val="006E5898"/>
    <w:rsid w:val="006E6188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62B0"/>
    <w:rsid w:val="00710D08"/>
    <w:rsid w:val="007130DF"/>
    <w:rsid w:val="00714100"/>
    <w:rsid w:val="00714377"/>
    <w:rsid w:val="0071737A"/>
    <w:rsid w:val="00717725"/>
    <w:rsid w:val="00722670"/>
    <w:rsid w:val="007229C4"/>
    <w:rsid w:val="00723658"/>
    <w:rsid w:val="00724531"/>
    <w:rsid w:val="00724637"/>
    <w:rsid w:val="0072625C"/>
    <w:rsid w:val="00731D70"/>
    <w:rsid w:val="0073205B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5179A"/>
    <w:rsid w:val="007517FE"/>
    <w:rsid w:val="00751C4F"/>
    <w:rsid w:val="007555F5"/>
    <w:rsid w:val="00756000"/>
    <w:rsid w:val="00757EC3"/>
    <w:rsid w:val="00760F80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8020F"/>
    <w:rsid w:val="0078356F"/>
    <w:rsid w:val="00784750"/>
    <w:rsid w:val="00784A0C"/>
    <w:rsid w:val="00785A8E"/>
    <w:rsid w:val="00785D90"/>
    <w:rsid w:val="00790A92"/>
    <w:rsid w:val="00790B01"/>
    <w:rsid w:val="00791955"/>
    <w:rsid w:val="00793464"/>
    <w:rsid w:val="00795610"/>
    <w:rsid w:val="00795701"/>
    <w:rsid w:val="00796E69"/>
    <w:rsid w:val="007971F0"/>
    <w:rsid w:val="007A10AD"/>
    <w:rsid w:val="007A1539"/>
    <w:rsid w:val="007A3A67"/>
    <w:rsid w:val="007A4908"/>
    <w:rsid w:val="007A6752"/>
    <w:rsid w:val="007A6990"/>
    <w:rsid w:val="007A6EDC"/>
    <w:rsid w:val="007A71F9"/>
    <w:rsid w:val="007B2AE8"/>
    <w:rsid w:val="007B3A59"/>
    <w:rsid w:val="007B4596"/>
    <w:rsid w:val="007B732F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444F"/>
    <w:rsid w:val="007D4917"/>
    <w:rsid w:val="007D5ABE"/>
    <w:rsid w:val="007D5B30"/>
    <w:rsid w:val="007E12AD"/>
    <w:rsid w:val="007E2728"/>
    <w:rsid w:val="007E2A33"/>
    <w:rsid w:val="007E3EBA"/>
    <w:rsid w:val="007E596C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2AF7"/>
    <w:rsid w:val="00833159"/>
    <w:rsid w:val="00833211"/>
    <w:rsid w:val="00836FCC"/>
    <w:rsid w:val="008379D9"/>
    <w:rsid w:val="00840B5A"/>
    <w:rsid w:val="008414D6"/>
    <w:rsid w:val="008415BA"/>
    <w:rsid w:val="008444FC"/>
    <w:rsid w:val="00850FBA"/>
    <w:rsid w:val="00851195"/>
    <w:rsid w:val="008516A0"/>
    <w:rsid w:val="0085253D"/>
    <w:rsid w:val="0085313D"/>
    <w:rsid w:val="00857656"/>
    <w:rsid w:val="00860935"/>
    <w:rsid w:val="00863505"/>
    <w:rsid w:val="00863B5A"/>
    <w:rsid w:val="008645E6"/>
    <w:rsid w:val="00864CEB"/>
    <w:rsid w:val="0087212B"/>
    <w:rsid w:val="00872ECA"/>
    <w:rsid w:val="0087316E"/>
    <w:rsid w:val="00874F5D"/>
    <w:rsid w:val="00874F67"/>
    <w:rsid w:val="00880383"/>
    <w:rsid w:val="00880B06"/>
    <w:rsid w:val="00880D72"/>
    <w:rsid w:val="0088226A"/>
    <w:rsid w:val="00882D0C"/>
    <w:rsid w:val="00883A1A"/>
    <w:rsid w:val="00885636"/>
    <w:rsid w:val="008861D7"/>
    <w:rsid w:val="00887F2A"/>
    <w:rsid w:val="008912D6"/>
    <w:rsid w:val="00891D72"/>
    <w:rsid w:val="008930C0"/>
    <w:rsid w:val="00893538"/>
    <w:rsid w:val="00893F22"/>
    <w:rsid w:val="008947D1"/>
    <w:rsid w:val="00895B1E"/>
    <w:rsid w:val="00896ACA"/>
    <w:rsid w:val="008973D2"/>
    <w:rsid w:val="008A10A4"/>
    <w:rsid w:val="008A3169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4315"/>
    <w:rsid w:val="008B53CB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390B"/>
    <w:rsid w:val="008E3C44"/>
    <w:rsid w:val="008E42C1"/>
    <w:rsid w:val="008E47C2"/>
    <w:rsid w:val="008F6B67"/>
    <w:rsid w:val="008F7842"/>
    <w:rsid w:val="009007DB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105E"/>
    <w:rsid w:val="009212A8"/>
    <w:rsid w:val="0092151D"/>
    <w:rsid w:val="009233D3"/>
    <w:rsid w:val="00924B05"/>
    <w:rsid w:val="00925117"/>
    <w:rsid w:val="009255E1"/>
    <w:rsid w:val="00926522"/>
    <w:rsid w:val="00926BEF"/>
    <w:rsid w:val="00926F75"/>
    <w:rsid w:val="00931099"/>
    <w:rsid w:val="0093124E"/>
    <w:rsid w:val="009342F7"/>
    <w:rsid w:val="009353E6"/>
    <w:rsid w:val="009368D3"/>
    <w:rsid w:val="009424C3"/>
    <w:rsid w:val="00943B81"/>
    <w:rsid w:val="00944D3A"/>
    <w:rsid w:val="0094549E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6EEB"/>
    <w:rsid w:val="00970FAD"/>
    <w:rsid w:val="009759EE"/>
    <w:rsid w:val="0097610C"/>
    <w:rsid w:val="00977032"/>
    <w:rsid w:val="0097733B"/>
    <w:rsid w:val="00977936"/>
    <w:rsid w:val="00977BBD"/>
    <w:rsid w:val="00980154"/>
    <w:rsid w:val="009806E6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29A3"/>
    <w:rsid w:val="009B627F"/>
    <w:rsid w:val="009B79C2"/>
    <w:rsid w:val="009C21D1"/>
    <w:rsid w:val="009C242C"/>
    <w:rsid w:val="009C5020"/>
    <w:rsid w:val="009C5DC4"/>
    <w:rsid w:val="009C6243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5E6A"/>
    <w:rsid w:val="009F2784"/>
    <w:rsid w:val="009F3060"/>
    <w:rsid w:val="009F3242"/>
    <w:rsid w:val="009F3A01"/>
    <w:rsid w:val="009F454C"/>
    <w:rsid w:val="009F5CC1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3185"/>
    <w:rsid w:val="00A15AD8"/>
    <w:rsid w:val="00A2026B"/>
    <w:rsid w:val="00A2105A"/>
    <w:rsid w:val="00A23E31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31B7"/>
    <w:rsid w:val="00A34007"/>
    <w:rsid w:val="00A34AC4"/>
    <w:rsid w:val="00A40390"/>
    <w:rsid w:val="00A41EA7"/>
    <w:rsid w:val="00A428C5"/>
    <w:rsid w:val="00A42EC0"/>
    <w:rsid w:val="00A4303E"/>
    <w:rsid w:val="00A4314E"/>
    <w:rsid w:val="00A43C0E"/>
    <w:rsid w:val="00A44914"/>
    <w:rsid w:val="00A45CE2"/>
    <w:rsid w:val="00A45FCF"/>
    <w:rsid w:val="00A4710E"/>
    <w:rsid w:val="00A47AD7"/>
    <w:rsid w:val="00A50F69"/>
    <w:rsid w:val="00A51B21"/>
    <w:rsid w:val="00A5392F"/>
    <w:rsid w:val="00A607D4"/>
    <w:rsid w:val="00A63D3B"/>
    <w:rsid w:val="00A643AE"/>
    <w:rsid w:val="00A6596C"/>
    <w:rsid w:val="00A76C13"/>
    <w:rsid w:val="00A77CF2"/>
    <w:rsid w:val="00A81BBB"/>
    <w:rsid w:val="00A82F33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7432"/>
    <w:rsid w:val="00AB18FD"/>
    <w:rsid w:val="00AB3CEF"/>
    <w:rsid w:val="00AB6AD5"/>
    <w:rsid w:val="00AC310E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E45"/>
    <w:rsid w:val="00AE3C43"/>
    <w:rsid w:val="00AE4026"/>
    <w:rsid w:val="00AE4BC7"/>
    <w:rsid w:val="00AE63F9"/>
    <w:rsid w:val="00AE7309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B00BEC"/>
    <w:rsid w:val="00B00E6A"/>
    <w:rsid w:val="00B03886"/>
    <w:rsid w:val="00B0468A"/>
    <w:rsid w:val="00B05BF7"/>
    <w:rsid w:val="00B101FC"/>
    <w:rsid w:val="00B10F74"/>
    <w:rsid w:val="00B14219"/>
    <w:rsid w:val="00B143CB"/>
    <w:rsid w:val="00B14B43"/>
    <w:rsid w:val="00B15891"/>
    <w:rsid w:val="00B16188"/>
    <w:rsid w:val="00B17114"/>
    <w:rsid w:val="00B17814"/>
    <w:rsid w:val="00B20651"/>
    <w:rsid w:val="00B2070D"/>
    <w:rsid w:val="00B207E5"/>
    <w:rsid w:val="00B20CD1"/>
    <w:rsid w:val="00B21F1A"/>
    <w:rsid w:val="00B2485F"/>
    <w:rsid w:val="00B25E72"/>
    <w:rsid w:val="00B274ED"/>
    <w:rsid w:val="00B2766B"/>
    <w:rsid w:val="00B301E0"/>
    <w:rsid w:val="00B30248"/>
    <w:rsid w:val="00B304DA"/>
    <w:rsid w:val="00B31BDE"/>
    <w:rsid w:val="00B32F08"/>
    <w:rsid w:val="00B331B5"/>
    <w:rsid w:val="00B3382A"/>
    <w:rsid w:val="00B36D69"/>
    <w:rsid w:val="00B37548"/>
    <w:rsid w:val="00B37929"/>
    <w:rsid w:val="00B413F1"/>
    <w:rsid w:val="00B44666"/>
    <w:rsid w:val="00B464DF"/>
    <w:rsid w:val="00B46508"/>
    <w:rsid w:val="00B47235"/>
    <w:rsid w:val="00B507AF"/>
    <w:rsid w:val="00B525AA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94A"/>
    <w:rsid w:val="00B6696D"/>
    <w:rsid w:val="00B66AE3"/>
    <w:rsid w:val="00B75016"/>
    <w:rsid w:val="00B7573E"/>
    <w:rsid w:val="00B768A5"/>
    <w:rsid w:val="00B80118"/>
    <w:rsid w:val="00B82A8B"/>
    <w:rsid w:val="00B844BC"/>
    <w:rsid w:val="00B852FA"/>
    <w:rsid w:val="00B861D5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0FB"/>
    <w:rsid w:val="00BA6E39"/>
    <w:rsid w:val="00BA7D16"/>
    <w:rsid w:val="00BB3FF9"/>
    <w:rsid w:val="00BB4BE7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66BD"/>
    <w:rsid w:val="00BE1645"/>
    <w:rsid w:val="00BE2586"/>
    <w:rsid w:val="00BE3FEE"/>
    <w:rsid w:val="00BE4067"/>
    <w:rsid w:val="00BE445A"/>
    <w:rsid w:val="00BE455C"/>
    <w:rsid w:val="00BE7168"/>
    <w:rsid w:val="00BF02D1"/>
    <w:rsid w:val="00BF11D2"/>
    <w:rsid w:val="00BF1CAA"/>
    <w:rsid w:val="00BF2569"/>
    <w:rsid w:val="00BF3944"/>
    <w:rsid w:val="00BF3C53"/>
    <w:rsid w:val="00BF484A"/>
    <w:rsid w:val="00BF5551"/>
    <w:rsid w:val="00BF77D3"/>
    <w:rsid w:val="00C01C9F"/>
    <w:rsid w:val="00C01D47"/>
    <w:rsid w:val="00C023BB"/>
    <w:rsid w:val="00C030A5"/>
    <w:rsid w:val="00C0388F"/>
    <w:rsid w:val="00C03C9E"/>
    <w:rsid w:val="00C045C1"/>
    <w:rsid w:val="00C047E5"/>
    <w:rsid w:val="00C05F5F"/>
    <w:rsid w:val="00C06FAC"/>
    <w:rsid w:val="00C10128"/>
    <w:rsid w:val="00C109DD"/>
    <w:rsid w:val="00C10BFA"/>
    <w:rsid w:val="00C129CA"/>
    <w:rsid w:val="00C130EB"/>
    <w:rsid w:val="00C139E4"/>
    <w:rsid w:val="00C15298"/>
    <w:rsid w:val="00C159C1"/>
    <w:rsid w:val="00C15CAB"/>
    <w:rsid w:val="00C17009"/>
    <w:rsid w:val="00C1745C"/>
    <w:rsid w:val="00C20E3C"/>
    <w:rsid w:val="00C213E3"/>
    <w:rsid w:val="00C22128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9B3"/>
    <w:rsid w:val="00C32EDE"/>
    <w:rsid w:val="00C34B2A"/>
    <w:rsid w:val="00C35AD1"/>
    <w:rsid w:val="00C362DB"/>
    <w:rsid w:val="00C37FFD"/>
    <w:rsid w:val="00C42378"/>
    <w:rsid w:val="00C42C1E"/>
    <w:rsid w:val="00C47CB6"/>
    <w:rsid w:val="00C50E4C"/>
    <w:rsid w:val="00C528F8"/>
    <w:rsid w:val="00C541A8"/>
    <w:rsid w:val="00C54681"/>
    <w:rsid w:val="00C5485C"/>
    <w:rsid w:val="00C551CD"/>
    <w:rsid w:val="00C55947"/>
    <w:rsid w:val="00C55BA7"/>
    <w:rsid w:val="00C56053"/>
    <w:rsid w:val="00C56655"/>
    <w:rsid w:val="00C57303"/>
    <w:rsid w:val="00C60897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2044"/>
    <w:rsid w:val="00C82E66"/>
    <w:rsid w:val="00C8371F"/>
    <w:rsid w:val="00C847BD"/>
    <w:rsid w:val="00C84BA6"/>
    <w:rsid w:val="00C85F60"/>
    <w:rsid w:val="00C86FD7"/>
    <w:rsid w:val="00C87F32"/>
    <w:rsid w:val="00C91079"/>
    <w:rsid w:val="00C94E82"/>
    <w:rsid w:val="00C955A3"/>
    <w:rsid w:val="00C95D11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3E60"/>
    <w:rsid w:val="00CB5ED6"/>
    <w:rsid w:val="00CB6B90"/>
    <w:rsid w:val="00CB743E"/>
    <w:rsid w:val="00CB74E3"/>
    <w:rsid w:val="00CB7CFA"/>
    <w:rsid w:val="00CC3283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2650"/>
    <w:rsid w:val="00CD3EA7"/>
    <w:rsid w:val="00CD61A0"/>
    <w:rsid w:val="00CE3276"/>
    <w:rsid w:val="00CE652D"/>
    <w:rsid w:val="00CE6682"/>
    <w:rsid w:val="00CE7F8B"/>
    <w:rsid w:val="00CF2B0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8F1"/>
    <w:rsid w:val="00D21CBB"/>
    <w:rsid w:val="00D22CEE"/>
    <w:rsid w:val="00D2475F"/>
    <w:rsid w:val="00D30E5E"/>
    <w:rsid w:val="00D323CD"/>
    <w:rsid w:val="00D34D37"/>
    <w:rsid w:val="00D35590"/>
    <w:rsid w:val="00D35ED0"/>
    <w:rsid w:val="00D37FF6"/>
    <w:rsid w:val="00D4027C"/>
    <w:rsid w:val="00D40E26"/>
    <w:rsid w:val="00D43704"/>
    <w:rsid w:val="00D444B4"/>
    <w:rsid w:val="00D448AD"/>
    <w:rsid w:val="00D44D70"/>
    <w:rsid w:val="00D45C5C"/>
    <w:rsid w:val="00D47179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578E1"/>
    <w:rsid w:val="00D61872"/>
    <w:rsid w:val="00D62695"/>
    <w:rsid w:val="00D628E6"/>
    <w:rsid w:val="00D62F89"/>
    <w:rsid w:val="00D64A03"/>
    <w:rsid w:val="00D66687"/>
    <w:rsid w:val="00D66D8A"/>
    <w:rsid w:val="00D67B96"/>
    <w:rsid w:val="00D70E49"/>
    <w:rsid w:val="00D71F5C"/>
    <w:rsid w:val="00D7232E"/>
    <w:rsid w:val="00D72648"/>
    <w:rsid w:val="00D72EC6"/>
    <w:rsid w:val="00D758CD"/>
    <w:rsid w:val="00D7672F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C0E97"/>
    <w:rsid w:val="00DC274F"/>
    <w:rsid w:val="00DC2D02"/>
    <w:rsid w:val="00DC5483"/>
    <w:rsid w:val="00DC63FE"/>
    <w:rsid w:val="00DC6C91"/>
    <w:rsid w:val="00DC70D1"/>
    <w:rsid w:val="00DD0878"/>
    <w:rsid w:val="00DD0C4D"/>
    <w:rsid w:val="00DD1EB5"/>
    <w:rsid w:val="00DD683B"/>
    <w:rsid w:val="00DD7266"/>
    <w:rsid w:val="00DD7938"/>
    <w:rsid w:val="00DE05E5"/>
    <w:rsid w:val="00DE0AF5"/>
    <w:rsid w:val="00DE0DC4"/>
    <w:rsid w:val="00DE4DC6"/>
    <w:rsid w:val="00DE6104"/>
    <w:rsid w:val="00DE6979"/>
    <w:rsid w:val="00DE75F3"/>
    <w:rsid w:val="00DE7700"/>
    <w:rsid w:val="00DF470D"/>
    <w:rsid w:val="00DF78CB"/>
    <w:rsid w:val="00E00661"/>
    <w:rsid w:val="00E013EE"/>
    <w:rsid w:val="00E01591"/>
    <w:rsid w:val="00E01FBB"/>
    <w:rsid w:val="00E0403F"/>
    <w:rsid w:val="00E10408"/>
    <w:rsid w:val="00E143FC"/>
    <w:rsid w:val="00E14876"/>
    <w:rsid w:val="00E14BF1"/>
    <w:rsid w:val="00E15076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BFF"/>
    <w:rsid w:val="00E4467E"/>
    <w:rsid w:val="00E451F1"/>
    <w:rsid w:val="00E45694"/>
    <w:rsid w:val="00E4726C"/>
    <w:rsid w:val="00E51EAF"/>
    <w:rsid w:val="00E51F32"/>
    <w:rsid w:val="00E525FD"/>
    <w:rsid w:val="00E52E21"/>
    <w:rsid w:val="00E5615E"/>
    <w:rsid w:val="00E563BA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7129B"/>
    <w:rsid w:val="00E726C7"/>
    <w:rsid w:val="00E72E7F"/>
    <w:rsid w:val="00E7392A"/>
    <w:rsid w:val="00E74EF1"/>
    <w:rsid w:val="00E74F33"/>
    <w:rsid w:val="00E75407"/>
    <w:rsid w:val="00E77141"/>
    <w:rsid w:val="00E82115"/>
    <w:rsid w:val="00E824D1"/>
    <w:rsid w:val="00E848B4"/>
    <w:rsid w:val="00E84A60"/>
    <w:rsid w:val="00E85695"/>
    <w:rsid w:val="00E8783C"/>
    <w:rsid w:val="00E90E8A"/>
    <w:rsid w:val="00E932EB"/>
    <w:rsid w:val="00E93FDE"/>
    <w:rsid w:val="00E94056"/>
    <w:rsid w:val="00E95E5B"/>
    <w:rsid w:val="00E962FF"/>
    <w:rsid w:val="00EA155A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DE"/>
    <w:rsid w:val="00EB45B5"/>
    <w:rsid w:val="00EB4887"/>
    <w:rsid w:val="00EB4F7F"/>
    <w:rsid w:val="00EB5C01"/>
    <w:rsid w:val="00EB7DF6"/>
    <w:rsid w:val="00EC01A3"/>
    <w:rsid w:val="00EC287E"/>
    <w:rsid w:val="00EC2EFD"/>
    <w:rsid w:val="00EC5FA1"/>
    <w:rsid w:val="00EC619B"/>
    <w:rsid w:val="00EC61C2"/>
    <w:rsid w:val="00EC6790"/>
    <w:rsid w:val="00ED2DB8"/>
    <w:rsid w:val="00ED61A9"/>
    <w:rsid w:val="00ED6ECA"/>
    <w:rsid w:val="00ED752A"/>
    <w:rsid w:val="00EE0003"/>
    <w:rsid w:val="00EE02E9"/>
    <w:rsid w:val="00EE1DB5"/>
    <w:rsid w:val="00EE7786"/>
    <w:rsid w:val="00EE7B93"/>
    <w:rsid w:val="00EF0204"/>
    <w:rsid w:val="00EF05D0"/>
    <w:rsid w:val="00EF1453"/>
    <w:rsid w:val="00EF1F9A"/>
    <w:rsid w:val="00EF46A9"/>
    <w:rsid w:val="00EF4B73"/>
    <w:rsid w:val="00EF7375"/>
    <w:rsid w:val="00EF7BD3"/>
    <w:rsid w:val="00F02BBC"/>
    <w:rsid w:val="00F0478A"/>
    <w:rsid w:val="00F06DFD"/>
    <w:rsid w:val="00F13A4E"/>
    <w:rsid w:val="00F142C8"/>
    <w:rsid w:val="00F16F84"/>
    <w:rsid w:val="00F17160"/>
    <w:rsid w:val="00F173BF"/>
    <w:rsid w:val="00F204AC"/>
    <w:rsid w:val="00F26C42"/>
    <w:rsid w:val="00F309E4"/>
    <w:rsid w:val="00F31D18"/>
    <w:rsid w:val="00F32319"/>
    <w:rsid w:val="00F3251E"/>
    <w:rsid w:val="00F34D51"/>
    <w:rsid w:val="00F35458"/>
    <w:rsid w:val="00F3621D"/>
    <w:rsid w:val="00F3641B"/>
    <w:rsid w:val="00F36B6E"/>
    <w:rsid w:val="00F36FFB"/>
    <w:rsid w:val="00F37ECC"/>
    <w:rsid w:val="00F42A34"/>
    <w:rsid w:val="00F42F6D"/>
    <w:rsid w:val="00F42FBA"/>
    <w:rsid w:val="00F445FA"/>
    <w:rsid w:val="00F449C8"/>
    <w:rsid w:val="00F44CD9"/>
    <w:rsid w:val="00F4532C"/>
    <w:rsid w:val="00F47807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2848"/>
    <w:rsid w:val="00F95178"/>
    <w:rsid w:val="00F9540E"/>
    <w:rsid w:val="00F96341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304F"/>
    <w:rsid w:val="00FB3FCE"/>
    <w:rsid w:val="00FB5889"/>
    <w:rsid w:val="00FB63C1"/>
    <w:rsid w:val="00FC1868"/>
    <w:rsid w:val="00FC2ED2"/>
    <w:rsid w:val="00FC32F7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3E9E"/>
    <w:rsid w:val="00FD4E73"/>
    <w:rsid w:val="00FD5E1B"/>
    <w:rsid w:val="00FD640E"/>
    <w:rsid w:val="00FD645D"/>
    <w:rsid w:val="00FD7701"/>
    <w:rsid w:val="00FE0F3B"/>
    <w:rsid w:val="00FE42E5"/>
    <w:rsid w:val="00FE6587"/>
    <w:rsid w:val="00FF1374"/>
    <w:rsid w:val="00FF26A9"/>
    <w:rsid w:val="00FF2802"/>
    <w:rsid w:val="00FF4CB3"/>
    <w:rsid w:val="00FF4D63"/>
    <w:rsid w:val="00FF53AE"/>
    <w:rsid w:val="00FF5D11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3613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E68E-16D4-417E-B10D-E724288F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org301</cp:lastModifiedBy>
  <cp:revision>23</cp:revision>
  <cp:lastPrinted>2021-06-15T12:20:00Z</cp:lastPrinted>
  <dcterms:created xsi:type="dcterms:W3CDTF">2021-06-15T09:15:00Z</dcterms:created>
  <dcterms:modified xsi:type="dcterms:W3CDTF">2021-07-01T11:41:00Z</dcterms:modified>
</cp:coreProperties>
</file>