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745C88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9511A8"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4355" w:rsidRPr="00745C88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45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3D4355" w:rsidRPr="00323032" w:rsidRDefault="003D4355" w:rsidP="004C3813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C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C88" w:rsidRPr="00323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30.06.2021 №575 </w:t>
      </w:r>
    </w:p>
    <w:p w:rsidR="00DA66E4" w:rsidRPr="00745C88" w:rsidRDefault="00DA66E4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3813" w:rsidRPr="00745C88" w:rsidRDefault="004C3813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745C88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745C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745C88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C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745C88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C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C3813" w:rsidRPr="00745C88" w:rsidRDefault="004C3813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127"/>
        <w:gridCol w:w="7938"/>
      </w:tblGrid>
      <w:tr w:rsidR="00DC4E79" w:rsidRPr="00745C88" w:rsidTr="00037D9C">
        <w:tc>
          <w:tcPr>
            <w:tcW w:w="675" w:type="dxa"/>
          </w:tcPr>
          <w:p w:rsidR="00DC4E79" w:rsidRPr="00745C88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745C88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</w:t>
            </w:r>
            <w:proofErr w:type="spellStart"/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C4E79" w:rsidRPr="00745C8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745C88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127" w:type="dxa"/>
            <w:vAlign w:val="center"/>
          </w:tcPr>
          <w:p w:rsidR="00DC4E79" w:rsidRPr="00745C8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745C8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745C8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745C8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745C88" w:rsidTr="00037D9C">
        <w:tc>
          <w:tcPr>
            <w:tcW w:w="675" w:type="dxa"/>
          </w:tcPr>
          <w:p w:rsidR="004753BC" w:rsidRPr="00745C88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4753BC" w:rsidRPr="00745C88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745C88" w:rsidRDefault="004753BC" w:rsidP="00A9157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127" w:type="dxa"/>
            <w:vAlign w:val="center"/>
          </w:tcPr>
          <w:p w:rsidR="004753BC" w:rsidRPr="00745C88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745C88" w:rsidRDefault="004753BC" w:rsidP="00A915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5E716E" w:rsidRPr="00745C88" w:rsidTr="00A3553F">
        <w:trPr>
          <w:trHeight w:val="280"/>
        </w:trPr>
        <w:tc>
          <w:tcPr>
            <w:tcW w:w="675" w:type="dxa"/>
          </w:tcPr>
          <w:p w:rsidR="005E716E" w:rsidRPr="00745C88" w:rsidRDefault="005E716E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7402C9" w:rsidRPr="00745C88" w:rsidRDefault="007402C9" w:rsidP="004C3813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відповідальн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стю </w:t>
            </w:r>
          </w:p>
          <w:p w:rsidR="005E716E" w:rsidRPr="00745C88" w:rsidRDefault="007402C9" w:rsidP="004C3813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«АКСІОМА-СХІДНИЙ»</w:t>
            </w:r>
          </w:p>
        </w:tc>
        <w:tc>
          <w:tcPr>
            <w:tcW w:w="2693" w:type="dxa"/>
          </w:tcPr>
          <w:p w:rsidR="005E716E" w:rsidRPr="00745C88" w:rsidRDefault="009268EE" w:rsidP="004C3813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компл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ксу будівель з обсл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говування та ремонту транспортних засобів (СТО з мийкою, маг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зину автозапчастин, гаражних боксів) на базі незавершеного будівництва нежи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лової будівлі мийки легкових автомобілів, готовність якої стан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вить 53%</w:t>
            </w:r>
          </w:p>
        </w:tc>
        <w:tc>
          <w:tcPr>
            <w:tcW w:w="2127" w:type="dxa"/>
          </w:tcPr>
          <w:p w:rsidR="005E716E" w:rsidRPr="00745C88" w:rsidRDefault="00601131" w:rsidP="004C3813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Симонова</w:t>
            </w:r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1Б у </w:t>
            </w:r>
            <w:proofErr w:type="spellStart"/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</w:t>
            </w:r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proofErr w:type="spellEnd"/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7938" w:type="dxa"/>
          </w:tcPr>
          <w:p w:rsidR="005E716E" w:rsidRPr="00745C88" w:rsidRDefault="005E716E" w:rsidP="004C3813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ційної картки адміністративної послуги №15 (04-03) «Видача </w:t>
            </w:r>
            <w:r w:rsidR="001C46B7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A3066C" w:rsidRPr="00745C88" w:rsidRDefault="00E62B2C" w:rsidP="004C3813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="001C46B7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графічній частині порушено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креслення поперечного профілю вулиці, пе</w:t>
            </w:r>
            <w:r w:rsidR="004C3813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редбачен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="004C3813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п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5.1.10</w:t>
            </w:r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EE7F22" w:rsidRPr="00745C88" w:rsidRDefault="005E716E" w:rsidP="004C3813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</w:tabs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п.17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19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плану території, як-от: додатково до складу детального плану території не додано виписку з протоколу архітектурно-містобудівної ради при департаменті регулювання містобудівної діяльності та з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відносин виконкому Криворізької міської ради</w:t>
            </w:r>
            <w:r w:rsidR="001A185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не надано 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графічні матеріали у форматі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*</w:t>
            </w:r>
            <w:proofErr w:type="spellStart"/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.dwg</w:t>
            </w:r>
            <w:proofErr w:type="spellEnd"/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або *</w:t>
            </w:r>
            <w:proofErr w:type="spellStart"/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.dmf</w:t>
            </w:r>
            <w:proofErr w:type="spellEnd"/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векторною структ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рою та </w:t>
            </w:r>
            <w:r w:rsidR="009D28F4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прив’язкою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системи координат УСК-2000. </w:t>
            </w:r>
          </w:p>
          <w:p w:rsidR="004C3813" w:rsidRPr="00745C88" w:rsidRDefault="00863DE6" w:rsidP="00F55FCE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627"/>
              </w:tabs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розрахунок </w:t>
            </w:r>
            <w:r w:rsidR="004C3813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необхідної </w:t>
            </w:r>
            <w:r w:rsidR="00A3066C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площі земельної ділянки</w:t>
            </w:r>
            <w:r w:rsidR="00966013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66013" w:rsidRPr="00745C88" w:rsidRDefault="00966013" w:rsidP="00966013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627"/>
              </w:tabs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вимозі ст.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Закону України «Про регул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містобудівної діяльності», а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саме: детальний план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території як </w:t>
            </w:r>
          </w:p>
        </w:tc>
      </w:tr>
      <w:tr w:rsidR="00966013" w:rsidRPr="00745C88" w:rsidTr="00BD0395">
        <w:trPr>
          <w:trHeight w:val="280"/>
        </w:trPr>
        <w:tc>
          <w:tcPr>
            <w:tcW w:w="675" w:type="dxa"/>
          </w:tcPr>
          <w:p w:rsidR="00966013" w:rsidRPr="00745C88" w:rsidRDefault="00966013" w:rsidP="00BF668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966013" w:rsidRPr="00745C88" w:rsidRDefault="00966013" w:rsidP="00BF668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966013" w:rsidRPr="00745C88" w:rsidRDefault="00966013" w:rsidP="00BF668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966013" w:rsidRPr="00745C88" w:rsidRDefault="00966013" w:rsidP="00BF668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966013" w:rsidRPr="00745C88" w:rsidRDefault="00966013" w:rsidP="00BF668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4C3813" w:rsidRPr="00745C88" w:rsidTr="00A3553F">
        <w:trPr>
          <w:trHeight w:val="280"/>
        </w:trPr>
        <w:tc>
          <w:tcPr>
            <w:tcW w:w="675" w:type="dxa"/>
          </w:tcPr>
          <w:p w:rsidR="004C3813" w:rsidRPr="00745C88" w:rsidRDefault="004C3813" w:rsidP="00F87B5A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4C3813" w:rsidRPr="00745C88" w:rsidRDefault="004C3813" w:rsidP="00F87B5A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C3813" w:rsidRPr="00745C88" w:rsidRDefault="004C3813" w:rsidP="00F87B5A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4C3813" w:rsidRPr="00745C88" w:rsidRDefault="004C3813" w:rsidP="00F87B5A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</w:tcPr>
          <w:p w:rsidR="004C3813" w:rsidRPr="00745C88" w:rsidRDefault="00966013" w:rsidP="00F87B5A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містобудівної документації підлягає громадському обгов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ренню. 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0471F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 громадських слухань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детального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рії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було висловлено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запере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чення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громадськості, що підтверджено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протоколом громадських слухань щодо врахування громадських і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тересів під час розроблення проектів містобудівної документації на місцевому рівні від 13.05.2021 та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листом громадянина Заїки Віталія Сергійовича від13.05.2021</w:t>
            </w:r>
            <w:r w:rsidR="009D28F4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D28F4" w:rsidRPr="00745C88" w:rsidRDefault="009E0BB6" w:rsidP="00F72324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72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опису об’єкта 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нерухомого майна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незаверш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будівництва в технічному паспорті витягу 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Державного реєс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F87B5A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 речових прав на нерухоме майно про реєстрацію права власності</w:t>
            </w:r>
          </w:p>
        </w:tc>
      </w:tr>
      <w:tr w:rsidR="00EE7F22" w:rsidRPr="00745C88" w:rsidTr="007A47A2">
        <w:trPr>
          <w:trHeight w:val="1988"/>
        </w:trPr>
        <w:tc>
          <w:tcPr>
            <w:tcW w:w="675" w:type="dxa"/>
          </w:tcPr>
          <w:p w:rsidR="00EE7F22" w:rsidRPr="00745C88" w:rsidRDefault="00966013" w:rsidP="00F87B5A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966013" w:rsidRPr="00745C88" w:rsidRDefault="00966013" w:rsidP="00F87B5A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</w:rPr>
              <w:t>Громадянка</w:t>
            </w:r>
          </w:p>
          <w:p w:rsidR="00966013" w:rsidRPr="00745C88" w:rsidRDefault="00966013" w:rsidP="00F87B5A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</w:rPr>
              <w:t>Журавльова</w:t>
            </w:r>
          </w:p>
          <w:p w:rsidR="00F55FCE" w:rsidRPr="00745C88" w:rsidRDefault="00F55FCE" w:rsidP="00F87B5A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:rsidR="00EE7F22" w:rsidRPr="00745C88" w:rsidRDefault="00F55FCE" w:rsidP="00F87B5A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</w:rPr>
              <w:t>Дмитрівна</w:t>
            </w:r>
          </w:p>
        </w:tc>
        <w:tc>
          <w:tcPr>
            <w:tcW w:w="2693" w:type="dxa"/>
          </w:tcPr>
          <w:p w:rsidR="00966013" w:rsidRPr="00745C88" w:rsidRDefault="00966013" w:rsidP="00F87B5A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</w:t>
            </w:r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слуговування </w:t>
            </w:r>
            <w:proofErr w:type="spellStart"/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житло-</w:t>
            </w:r>
            <w:proofErr w:type="spellEnd"/>
          </w:p>
          <w:p w:rsidR="00EE7F22" w:rsidRPr="00745C88" w:rsidRDefault="00F55FCE" w:rsidP="00F87B5A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вого</w:t>
            </w:r>
            <w:proofErr w:type="spellEnd"/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будинку, госп</w:t>
            </w:r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745C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дарських будівель і споруд</w:t>
            </w:r>
          </w:p>
        </w:tc>
        <w:tc>
          <w:tcPr>
            <w:tcW w:w="2127" w:type="dxa"/>
          </w:tcPr>
          <w:p w:rsidR="00966013" w:rsidRPr="00745C88" w:rsidRDefault="00966013" w:rsidP="00F87B5A">
            <w:pPr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</w:rPr>
              <w:t>вул. Художників, біля будинку 22 в</w:t>
            </w:r>
          </w:p>
          <w:p w:rsidR="00EE7F22" w:rsidRPr="00745C88" w:rsidRDefault="00F55FCE" w:rsidP="00F87B5A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C88">
              <w:rPr>
                <w:rFonts w:ascii="Times New Roman" w:hAnsi="Times New Roman" w:cs="Times New Roman"/>
                <w:sz w:val="26"/>
                <w:szCs w:val="26"/>
              </w:rPr>
              <w:t>Довгинцівському</w:t>
            </w:r>
            <w:proofErr w:type="spellEnd"/>
            <w:r w:rsidRPr="00745C88">
              <w:rPr>
                <w:rFonts w:ascii="Times New Roman" w:hAnsi="Times New Roman" w:cs="Times New Roman"/>
                <w:sz w:val="26"/>
                <w:szCs w:val="26"/>
              </w:rPr>
              <w:t xml:space="preserve"> районі</w:t>
            </w:r>
          </w:p>
        </w:tc>
        <w:tc>
          <w:tcPr>
            <w:tcW w:w="7938" w:type="dxa"/>
          </w:tcPr>
          <w:p w:rsidR="00966013" w:rsidRPr="00745C88" w:rsidRDefault="00966013" w:rsidP="00F87B5A">
            <w:pPr>
              <w:pStyle w:val="a4"/>
              <w:numPr>
                <w:ilvl w:val="0"/>
                <w:numId w:val="50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600"/>
              </w:tabs>
              <w:spacing w:line="228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</w:t>
            </w:r>
          </w:p>
          <w:p w:rsidR="00EE7F22" w:rsidRPr="00745C88" w:rsidRDefault="00EE7F22" w:rsidP="00F87B5A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60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картки адміністративної послуги №15 (04-03) «Видача ріше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міської ради про затвердження детального плану територій та н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дання дозволу на розробку відповідного проекту землеустрою», з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9268EE" w:rsidRPr="00745C88" w:rsidRDefault="00EE7F22" w:rsidP="00F87B5A">
            <w:pPr>
              <w:pStyle w:val="a4"/>
              <w:numPr>
                <w:ilvl w:val="0"/>
                <w:numId w:val="50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графічній частині порушено</w:t>
            </w:r>
            <w:r w:rsidR="008B41F0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проектного плану, схеми інженерної підготовки території та вертикального планування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креслення поперечного профілю вулиці, 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передбачене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пп. 5.1.5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9268EE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5.1.8 та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5.1.10</w:t>
            </w:r>
            <w:r w:rsidR="009268EE" w:rsidRPr="00745C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390ABF" w:rsidRPr="00745C88" w:rsidRDefault="009268EE" w:rsidP="00601131">
            <w:pPr>
              <w:pStyle w:val="a4"/>
              <w:numPr>
                <w:ilvl w:val="0"/>
                <w:numId w:val="50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п.17 завдання на розроблення детального плану території, </w:t>
            </w:r>
            <w:r w:rsidR="00601131"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додатково до складу детального плану тер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45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</w:t>
            </w:r>
            <w:r w:rsidRPr="00745C88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D21DBB" w:rsidRPr="00745C88" w:rsidRDefault="00D21DBB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F87B5A" w:rsidRPr="00745C88" w:rsidRDefault="00F87B5A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601131" w:rsidRPr="00745C88" w:rsidRDefault="0060113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745C88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C8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745C8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745C88" w:rsidSect="00A3553F">
      <w:headerReference w:type="default" r:id="rId8"/>
      <w:pgSz w:w="16838" w:h="11906" w:orient="landscape"/>
      <w:pgMar w:top="709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0C" w:rsidRPr="00B31753" w:rsidRDefault="008B460C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8B460C" w:rsidRPr="00B31753" w:rsidRDefault="008B460C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0C" w:rsidRPr="00B31753" w:rsidRDefault="008B460C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8B460C" w:rsidRPr="00B31753" w:rsidRDefault="008B460C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57B" w:rsidRDefault="00837363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157B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0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57B" w:rsidRPr="00124D42" w:rsidRDefault="009511A8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010A563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B0CFF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F30A0D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5">
    <w:nsid w:val="10720819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0A876B8"/>
    <w:multiLevelType w:val="multilevel"/>
    <w:tmpl w:val="AA2E3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2">
    <w:nsid w:val="212659A4"/>
    <w:multiLevelType w:val="hybridMultilevel"/>
    <w:tmpl w:val="DD0CA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8949E3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>
    <w:nsid w:val="2F5643D6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6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EC254BE"/>
    <w:multiLevelType w:val="multilevel"/>
    <w:tmpl w:val="E13E966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26">
    <w:nsid w:val="3F9C0C4C"/>
    <w:multiLevelType w:val="hybridMultilevel"/>
    <w:tmpl w:val="7DCA40FE"/>
    <w:lvl w:ilvl="0" w:tplc="DD1E4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961C5"/>
    <w:multiLevelType w:val="hybridMultilevel"/>
    <w:tmpl w:val="9230C950"/>
    <w:lvl w:ilvl="0" w:tplc="9AB6DE7E">
      <w:start w:val="1"/>
      <w:numFmt w:val="decimal"/>
      <w:lvlText w:val="%1."/>
      <w:lvlJc w:val="left"/>
      <w:pPr>
        <w:ind w:left="47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195" w:hanging="360"/>
      </w:pPr>
    </w:lvl>
    <w:lvl w:ilvl="2" w:tplc="0422001B" w:tentative="1">
      <w:start w:val="1"/>
      <w:numFmt w:val="lowerRoman"/>
      <w:lvlText w:val="%3."/>
      <w:lvlJc w:val="right"/>
      <w:pPr>
        <w:ind w:left="1915" w:hanging="180"/>
      </w:pPr>
    </w:lvl>
    <w:lvl w:ilvl="3" w:tplc="0422000F" w:tentative="1">
      <w:start w:val="1"/>
      <w:numFmt w:val="decimal"/>
      <w:lvlText w:val="%4."/>
      <w:lvlJc w:val="left"/>
      <w:pPr>
        <w:ind w:left="2635" w:hanging="360"/>
      </w:pPr>
    </w:lvl>
    <w:lvl w:ilvl="4" w:tplc="04220019" w:tentative="1">
      <w:start w:val="1"/>
      <w:numFmt w:val="lowerLetter"/>
      <w:lvlText w:val="%5."/>
      <w:lvlJc w:val="left"/>
      <w:pPr>
        <w:ind w:left="3355" w:hanging="360"/>
      </w:pPr>
    </w:lvl>
    <w:lvl w:ilvl="5" w:tplc="0422001B" w:tentative="1">
      <w:start w:val="1"/>
      <w:numFmt w:val="lowerRoman"/>
      <w:lvlText w:val="%6."/>
      <w:lvlJc w:val="right"/>
      <w:pPr>
        <w:ind w:left="4075" w:hanging="180"/>
      </w:pPr>
    </w:lvl>
    <w:lvl w:ilvl="6" w:tplc="0422000F" w:tentative="1">
      <w:start w:val="1"/>
      <w:numFmt w:val="decimal"/>
      <w:lvlText w:val="%7."/>
      <w:lvlJc w:val="left"/>
      <w:pPr>
        <w:ind w:left="4795" w:hanging="360"/>
      </w:pPr>
    </w:lvl>
    <w:lvl w:ilvl="7" w:tplc="04220019" w:tentative="1">
      <w:start w:val="1"/>
      <w:numFmt w:val="lowerLetter"/>
      <w:lvlText w:val="%8."/>
      <w:lvlJc w:val="left"/>
      <w:pPr>
        <w:ind w:left="5515" w:hanging="360"/>
      </w:pPr>
    </w:lvl>
    <w:lvl w:ilvl="8" w:tplc="042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8">
    <w:nsid w:val="4990577B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9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31">
    <w:nsid w:val="4D51525F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2">
    <w:nsid w:val="4ED46989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3">
    <w:nsid w:val="4F6B0C1D"/>
    <w:multiLevelType w:val="hybridMultilevel"/>
    <w:tmpl w:val="FAC8898E"/>
    <w:lvl w:ilvl="0" w:tplc="AC886D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2AD0BAB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6">
    <w:nsid w:val="56971DBF"/>
    <w:multiLevelType w:val="multilevel"/>
    <w:tmpl w:val="CB645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9">
    <w:nsid w:val="5D9A38BD"/>
    <w:multiLevelType w:val="hybridMultilevel"/>
    <w:tmpl w:val="5C14E5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60A44DBD"/>
    <w:multiLevelType w:val="hybridMultilevel"/>
    <w:tmpl w:val="E55C8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383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4">
    <w:nsid w:val="70D735C7"/>
    <w:multiLevelType w:val="multilevel"/>
    <w:tmpl w:val="AE8E2D82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4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9B7624"/>
    <w:multiLevelType w:val="multilevel"/>
    <w:tmpl w:val="45227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7">
    <w:nsid w:val="7847143C"/>
    <w:multiLevelType w:val="multilevel"/>
    <w:tmpl w:val="F996B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305AA"/>
    <w:multiLevelType w:val="multilevel"/>
    <w:tmpl w:val="89E4832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3"/>
  </w:num>
  <w:num w:numId="5">
    <w:abstractNumId w:val="17"/>
  </w:num>
  <w:num w:numId="6">
    <w:abstractNumId w:val="48"/>
  </w:num>
  <w:num w:numId="7">
    <w:abstractNumId w:val="20"/>
  </w:num>
  <w:num w:numId="8">
    <w:abstractNumId w:val="22"/>
  </w:num>
  <w:num w:numId="9">
    <w:abstractNumId w:val="40"/>
  </w:num>
  <w:num w:numId="10">
    <w:abstractNumId w:val="6"/>
  </w:num>
  <w:num w:numId="11">
    <w:abstractNumId w:val="37"/>
  </w:num>
  <w:num w:numId="12">
    <w:abstractNumId w:val="8"/>
  </w:num>
  <w:num w:numId="13">
    <w:abstractNumId w:val="49"/>
  </w:num>
  <w:num w:numId="14">
    <w:abstractNumId w:val="34"/>
  </w:num>
  <w:num w:numId="15">
    <w:abstractNumId w:val="45"/>
  </w:num>
  <w:num w:numId="16">
    <w:abstractNumId w:val="0"/>
  </w:num>
  <w:num w:numId="17">
    <w:abstractNumId w:val="43"/>
  </w:num>
  <w:num w:numId="18">
    <w:abstractNumId w:val="19"/>
  </w:num>
  <w:num w:numId="19">
    <w:abstractNumId w:val="21"/>
  </w:num>
  <w:num w:numId="20">
    <w:abstractNumId w:val="10"/>
  </w:num>
  <w:num w:numId="21">
    <w:abstractNumId w:val="29"/>
  </w:num>
  <w:num w:numId="22">
    <w:abstractNumId w:val="38"/>
  </w:num>
  <w:num w:numId="23">
    <w:abstractNumId w:val="30"/>
  </w:num>
  <w:num w:numId="24">
    <w:abstractNumId w:val="24"/>
  </w:num>
  <w:num w:numId="25">
    <w:abstractNumId w:val="1"/>
  </w:num>
  <w:num w:numId="26">
    <w:abstractNumId w:val="23"/>
  </w:num>
  <w:num w:numId="27">
    <w:abstractNumId w:val="18"/>
  </w:num>
  <w:num w:numId="28">
    <w:abstractNumId w:val="5"/>
  </w:num>
  <w:num w:numId="29">
    <w:abstractNumId w:val="41"/>
  </w:num>
  <w:num w:numId="30">
    <w:abstractNumId w:val="28"/>
  </w:num>
  <w:num w:numId="31">
    <w:abstractNumId w:val="14"/>
  </w:num>
  <w:num w:numId="32">
    <w:abstractNumId w:val="12"/>
  </w:num>
  <w:num w:numId="33">
    <w:abstractNumId w:val="39"/>
  </w:num>
  <w:num w:numId="34">
    <w:abstractNumId w:val="11"/>
  </w:num>
  <w:num w:numId="35">
    <w:abstractNumId w:val="47"/>
  </w:num>
  <w:num w:numId="36">
    <w:abstractNumId w:val="27"/>
  </w:num>
  <w:num w:numId="37">
    <w:abstractNumId w:val="2"/>
  </w:num>
  <w:num w:numId="38">
    <w:abstractNumId w:val="35"/>
  </w:num>
  <w:num w:numId="39">
    <w:abstractNumId w:val="15"/>
  </w:num>
  <w:num w:numId="40">
    <w:abstractNumId w:val="32"/>
  </w:num>
  <w:num w:numId="41">
    <w:abstractNumId w:val="31"/>
  </w:num>
  <w:num w:numId="42">
    <w:abstractNumId w:val="44"/>
  </w:num>
  <w:num w:numId="43">
    <w:abstractNumId w:val="42"/>
  </w:num>
  <w:num w:numId="44">
    <w:abstractNumId w:val="25"/>
  </w:num>
  <w:num w:numId="45">
    <w:abstractNumId w:val="9"/>
  </w:num>
  <w:num w:numId="46">
    <w:abstractNumId w:val="4"/>
  </w:num>
  <w:num w:numId="47">
    <w:abstractNumId w:val="36"/>
  </w:num>
  <w:num w:numId="48">
    <w:abstractNumId w:val="46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37D9C"/>
    <w:rsid w:val="00050354"/>
    <w:rsid w:val="00067CE9"/>
    <w:rsid w:val="00080091"/>
    <w:rsid w:val="000822AD"/>
    <w:rsid w:val="00090721"/>
    <w:rsid w:val="000938DE"/>
    <w:rsid w:val="000A263A"/>
    <w:rsid w:val="000A79A2"/>
    <w:rsid w:val="000B5208"/>
    <w:rsid w:val="000C5FF8"/>
    <w:rsid w:val="000D608A"/>
    <w:rsid w:val="000F6EDF"/>
    <w:rsid w:val="00111381"/>
    <w:rsid w:val="001155EB"/>
    <w:rsid w:val="00124D42"/>
    <w:rsid w:val="001441BB"/>
    <w:rsid w:val="0015141F"/>
    <w:rsid w:val="00181217"/>
    <w:rsid w:val="001851F3"/>
    <w:rsid w:val="00185C4B"/>
    <w:rsid w:val="001922F5"/>
    <w:rsid w:val="00192783"/>
    <w:rsid w:val="001A1851"/>
    <w:rsid w:val="001B0502"/>
    <w:rsid w:val="001C46B7"/>
    <w:rsid w:val="001C6173"/>
    <w:rsid w:val="001F6EEC"/>
    <w:rsid w:val="002109AF"/>
    <w:rsid w:val="00215DF2"/>
    <w:rsid w:val="002218AB"/>
    <w:rsid w:val="00224DE0"/>
    <w:rsid w:val="0023210A"/>
    <w:rsid w:val="00240302"/>
    <w:rsid w:val="0024194C"/>
    <w:rsid w:val="00256195"/>
    <w:rsid w:val="00265B98"/>
    <w:rsid w:val="0029244B"/>
    <w:rsid w:val="00293DE1"/>
    <w:rsid w:val="002A6529"/>
    <w:rsid w:val="002B6A16"/>
    <w:rsid w:val="002D3D9B"/>
    <w:rsid w:val="002E76B3"/>
    <w:rsid w:val="003029CB"/>
    <w:rsid w:val="00316CBD"/>
    <w:rsid w:val="00323032"/>
    <w:rsid w:val="00326E89"/>
    <w:rsid w:val="003301DE"/>
    <w:rsid w:val="00335D0B"/>
    <w:rsid w:val="0035046E"/>
    <w:rsid w:val="0035597B"/>
    <w:rsid w:val="0036542A"/>
    <w:rsid w:val="00367328"/>
    <w:rsid w:val="0037127B"/>
    <w:rsid w:val="00386CE7"/>
    <w:rsid w:val="00390ABF"/>
    <w:rsid w:val="003A783A"/>
    <w:rsid w:val="003B7ED7"/>
    <w:rsid w:val="003D4355"/>
    <w:rsid w:val="003F31F5"/>
    <w:rsid w:val="00404D22"/>
    <w:rsid w:val="004074C8"/>
    <w:rsid w:val="004141FC"/>
    <w:rsid w:val="0042682C"/>
    <w:rsid w:val="00432AD5"/>
    <w:rsid w:val="0045034B"/>
    <w:rsid w:val="00450757"/>
    <w:rsid w:val="00450836"/>
    <w:rsid w:val="00457D83"/>
    <w:rsid w:val="00467169"/>
    <w:rsid w:val="004753BC"/>
    <w:rsid w:val="004B1EDD"/>
    <w:rsid w:val="004B3A1F"/>
    <w:rsid w:val="004C3813"/>
    <w:rsid w:val="004C4560"/>
    <w:rsid w:val="004C5C3F"/>
    <w:rsid w:val="004C77F9"/>
    <w:rsid w:val="004D3A35"/>
    <w:rsid w:val="004E1659"/>
    <w:rsid w:val="0050015C"/>
    <w:rsid w:val="00516C81"/>
    <w:rsid w:val="00517144"/>
    <w:rsid w:val="00544024"/>
    <w:rsid w:val="00544AD6"/>
    <w:rsid w:val="0055627C"/>
    <w:rsid w:val="00571CD8"/>
    <w:rsid w:val="005B26F4"/>
    <w:rsid w:val="005C2707"/>
    <w:rsid w:val="005D0020"/>
    <w:rsid w:val="005D6987"/>
    <w:rsid w:val="005D6F87"/>
    <w:rsid w:val="005E6922"/>
    <w:rsid w:val="005E716E"/>
    <w:rsid w:val="005E7477"/>
    <w:rsid w:val="005F3DC3"/>
    <w:rsid w:val="005F4836"/>
    <w:rsid w:val="00601131"/>
    <w:rsid w:val="006053B6"/>
    <w:rsid w:val="0060718A"/>
    <w:rsid w:val="00612DEE"/>
    <w:rsid w:val="00671132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33B6"/>
    <w:rsid w:val="006F44A8"/>
    <w:rsid w:val="006F518A"/>
    <w:rsid w:val="007402C9"/>
    <w:rsid w:val="00744E2A"/>
    <w:rsid w:val="00745C88"/>
    <w:rsid w:val="00750E55"/>
    <w:rsid w:val="00762D32"/>
    <w:rsid w:val="00781806"/>
    <w:rsid w:val="0079563D"/>
    <w:rsid w:val="007A2240"/>
    <w:rsid w:val="007A47A2"/>
    <w:rsid w:val="007A7D37"/>
    <w:rsid w:val="007B07A7"/>
    <w:rsid w:val="007C1207"/>
    <w:rsid w:val="007C7FD7"/>
    <w:rsid w:val="007D5630"/>
    <w:rsid w:val="007E2748"/>
    <w:rsid w:val="007F757C"/>
    <w:rsid w:val="00807225"/>
    <w:rsid w:val="0082713E"/>
    <w:rsid w:val="00837363"/>
    <w:rsid w:val="00844B36"/>
    <w:rsid w:val="00847525"/>
    <w:rsid w:val="00863DE6"/>
    <w:rsid w:val="0086445E"/>
    <w:rsid w:val="00872A26"/>
    <w:rsid w:val="00874752"/>
    <w:rsid w:val="0088628A"/>
    <w:rsid w:val="008877A4"/>
    <w:rsid w:val="00895066"/>
    <w:rsid w:val="008A60C9"/>
    <w:rsid w:val="008A72D1"/>
    <w:rsid w:val="008B41F0"/>
    <w:rsid w:val="008B460C"/>
    <w:rsid w:val="008E6FA8"/>
    <w:rsid w:val="00907730"/>
    <w:rsid w:val="00910320"/>
    <w:rsid w:val="0091130C"/>
    <w:rsid w:val="009268EE"/>
    <w:rsid w:val="009329BA"/>
    <w:rsid w:val="0094285A"/>
    <w:rsid w:val="009511A8"/>
    <w:rsid w:val="00966013"/>
    <w:rsid w:val="009A5AFB"/>
    <w:rsid w:val="009A76A4"/>
    <w:rsid w:val="009C0607"/>
    <w:rsid w:val="009C175C"/>
    <w:rsid w:val="009C2FCF"/>
    <w:rsid w:val="009D1E69"/>
    <w:rsid w:val="009D28F4"/>
    <w:rsid w:val="009E0BB6"/>
    <w:rsid w:val="009E27B6"/>
    <w:rsid w:val="009F4F83"/>
    <w:rsid w:val="00A05AD2"/>
    <w:rsid w:val="00A0694A"/>
    <w:rsid w:val="00A3066C"/>
    <w:rsid w:val="00A3553F"/>
    <w:rsid w:val="00A4412F"/>
    <w:rsid w:val="00A568B8"/>
    <w:rsid w:val="00A570E1"/>
    <w:rsid w:val="00A64937"/>
    <w:rsid w:val="00A74DEF"/>
    <w:rsid w:val="00A9157B"/>
    <w:rsid w:val="00AA5FE0"/>
    <w:rsid w:val="00AB02F3"/>
    <w:rsid w:val="00AB2126"/>
    <w:rsid w:val="00AB66FF"/>
    <w:rsid w:val="00AB6C5C"/>
    <w:rsid w:val="00AD35B6"/>
    <w:rsid w:val="00AE53B4"/>
    <w:rsid w:val="00AF5FDC"/>
    <w:rsid w:val="00B03377"/>
    <w:rsid w:val="00B142B1"/>
    <w:rsid w:val="00B15A38"/>
    <w:rsid w:val="00B24D4E"/>
    <w:rsid w:val="00B24F54"/>
    <w:rsid w:val="00B31753"/>
    <w:rsid w:val="00B348B0"/>
    <w:rsid w:val="00B42930"/>
    <w:rsid w:val="00B51E60"/>
    <w:rsid w:val="00B67649"/>
    <w:rsid w:val="00B852F7"/>
    <w:rsid w:val="00BA3135"/>
    <w:rsid w:val="00BC38A5"/>
    <w:rsid w:val="00BE36D5"/>
    <w:rsid w:val="00C0471F"/>
    <w:rsid w:val="00C05438"/>
    <w:rsid w:val="00C4414B"/>
    <w:rsid w:val="00C44607"/>
    <w:rsid w:val="00C46B27"/>
    <w:rsid w:val="00CA2A9A"/>
    <w:rsid w:val="00CC4BE1"/>
    <w:rsid w:val="00CD157E"/>
    <w:rsid w:val="00CE38C6"/>
    <w:rsid w:val="00CE4CF6"/>
    <w:rsid w:val="00CE61B0"/>
    <w:rsid w:val="00D10C46"/>
    <w:rsid w:val="00D21DBB"/>
    <w:rsid w:val="00D34EE1"/>
    <w:rsid w:val="00D3743B"/>
    <w:rsid w:val="00D4441F"/>
    <w:rsid w:val="00D613DE"/>
    <w:rsid w:val="00D672D4"/>
    <w:rsid w:val="00D96D41"/>
    <w:rsid w:val="00DA66E4"/>
    <w:rsid w:val="00DC4E79"/>
    <w:rsid w:val="00DF081A"/>
    <w:rsid w:val="00DF66BF"/>
    <w:rsid w:val="00E23F9F"/>
    <w:rsid w:val="00E51D6A"/>
    <w:rsid w:val="00E62B2C"/>
    <w:rsid w:val="00E6517A"/>
    <w:rsid w:val="00E74A86"/>
    <w:rsid w:val="00E82FB3"/>
    <w:rsid w:val="00E923A8"/>
    <w:rsid w:val="00EB416D"/>
    <w:rsid w:val="00EB70E1"/>
    <w:rsid w:val="00EC44BC"/>
    <w:rsid w:val="00ED291E"/>
    <w:rsid w:val="00EE7F22"/>
    <w:rsid w:val="00F04A9B"/>
    <w:rsid w:val="00F068C1"/>
    <w:rsid w:val="00F215D9"/>
    <w:rsid w:val="00F37070"/>
    <w:rsid w:val="00F5048C"/>
    <w:rsid w:val="00F55FCE"/>
    <w:rsid w:val="00F57C50"/>
    <w:rsid w:val="00F71C49"/>
    <w:rsid w:val="00F72324"/>
    <w:rsid w:val="00F87B5A"/>
    <w:rsid w:val="00F94E8D"/>
    <w:rsid w:val="00FB10E2"/>
    <w:rsid w:val="00FB1FA9"/>
    <w:rsid w:val="00FC467F"/>
    <w:rsid w:val="00FD0092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org301</cp:lastModifiedBy>
  <cp:revision>107</cp:revision>
  <cp:lastPrinted>2021-06-14T11:45:00Z</cp:lastPrinted>
  <dcterms:created xsi:type="dcterms:W3CDTF">2020-11-27T14:00:00Z</dcterms:created>
  <dcterms:modified xsi:type="dcterms:W3CDTF">2021-07-01T11:37:00Z</dcterms:modified>
</cp:coreProperties>
</file>