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CD" w:rsidRPr="00F83826" w:rsidRDefault="0067108B" w:rsidP="00B579C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79CD" w:rsidRPr="00F8382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579CD" w:rsidRPr="00F83826" w:rsidRDefault="00B579CD" w:rsidP="00B579C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579CD" w:rsidRPr="00F83826" w:rsidRDefault="00B579CD" w:rsidP="00B579C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67108B" w:rsidRPr="00F83826" w:rsidRDefault="00824FB6" w:rsidP="00824FB6">
      <w:pPr>
        <w:pStyle w:val="a3"/>
        <w:tabs>
          <w:tab w:val="left" w:pos="571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F83826">
        <w:rPr>
          <w:rFonts w:ascii="Times New Roman" w:hAnsi="Times New Roman" w:cs="Times New Roman"/>
          <w:i/>
          <w:sz w:val="28"/>
          <w:szCs w:val="28"/>
          <w:lang w:val="uk-UA"/>
        </w:rPr>
        <w:t>17.03.2021 №91</w:t>
      </w:r>
    </w:p>
    <w:p w:rsidR="00416F19" w:rsidRPr="00F83826" w:rsidRDefault="00416F19" w:rsidP="00725F0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08B" w:rsidRPr="00F83826" w:rsidRDefault="0067108B" w:rsidP="006710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МЕТОДИКА</w:t>
      </w:r>
    </w:p>
    <w:p w:rsidR="0067108B" w:rsidRPr="00F83826" w:rsidRDefault="0067108B" w:rsidP="00B579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оцінки ефективності виконання </w:t>
      </w:r>
      <w:r w:rsidR="00B579CD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виконавчими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органами </w:t>
      </w:r>
      <w:r w:rsidR="00B579CD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районних у місті рад </w:t>
      </w:r>
      <w:r w:rsidR="00DE4FD6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окремих </w:t>
      </w:r>
      <w:r w:rsidR="00B579CD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повноважень</w:t>
      </w:r>
      <w:r w:rsidR="00C67DED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579CD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делегованих міською радою, 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відповідно до потреб </w:t>
      </w:r>
      <w:r w:rsidR="00725F08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територіальної 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громади </w:t>
      </w:r>
      <w:r w:rsidR="00736ED0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міста 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Кривого Рогу</w:t>
      </w:r>
    </w:p>
    <w:p w:rsidR="0067108B" w:rsidRPr="00F83826" w:rsidRDefault="0067108B" w:rsidP="006710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08B" w:rsidRPr="00F83826" w:rsidRDefault="0067108B" w:rsidP="0067108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І. Загальні положення</w:t>
      </w:r>
    </w:p>
    <w:p w:rsidR="0001710B" w:rsidRPr="00F83826" w:rsidRDefault="0067108B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B579CD" w:rsidRPr="00F838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оцінки ефективності 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579C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районних у місті рад </w:t>
      </w:r>
      <w:r w:rsidR="00DE4FD6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B579C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повноважень, делегованих міською радою, відповідно до потреб 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B579C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B579CD" w:rsidRPr="00F83826">
        <w:rPr>
          <w:rFonts w:ascii="Times New Roman" w:hAnsi="Times New Roman" w:cs="Times New Roman"/>
          <w:sz w:val="28"/>
          <w:szCs w:val="28"/>
          <w:lang w:val="uk-UA"/>
        </w:rPr>
        <w:t>Кривого Рогу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Методика) визначає порядок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її здійснення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F13" w:rsidRPr="00F83826" w:rsidRDefault="00DE4F13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10B" w:rsidRPr="00F83826" w:rsidRDefault="0067108B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оцінки ефективності є виконання </w:t>
      </w:r>
      <w:r w:rsidR="00DE4FD6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районних у місті рад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, визначених рішенням</w:t>
      </w:r>
      <w:r w:rsidR="00085317" w:rsidRPr="00F838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31.03.2016 №381 «Про обсяг і межі повноважень районних у місті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рад та їх виконавчих органів», зі змінами,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та №376 «Про затвердження Стратегічного плану розвитку міста Кривого Рогу на період до 2025 року».</w:t>
      </w:r>
    </w:p>
    <w:p w:rsidR="00DE4F13" w:rsidRPr="00F83826" w:rsidRDefault="00DE4F13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08B" w:rsidRPr="00F83826" w:rsidRDefault="00471201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Оцінка ефективності виконання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виконавчими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органами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районних у місті рад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FD6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повноважень проводи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ться на підставі аналізу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показників у відповідних сферах життєдіяльності громади,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характеризують: </w:t>
      </w:r>
    </w:p>
    <w:p w:rsidR="0067108B" w:rsidRPr="00F83826" w:rsidRDefault="00471201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  <w:t>1.3.1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цілі та 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>кінцеві результати діяльності відповідно до наданих повноважень;</w:t>
      </w:r>
    </w:p>
    <w:p w:rsidR="0001710B" w:rsidRPr="00F83826" w:rsidRDefault="00471201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  <w:t>1.3.2</w:t>
      </w:r>
      <w:r w:rsidR="0067108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задоволеність населення якістю виконання</w:t>
      </w:r>
      <w:r w:rsidR="0001710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органами місцевого самоврядування та обслуговування.</w:t>
      </w:r>
    </w:p>
    <w:p w:rsidR="00DE4F13" w:rsidRPr="00F83826" w:rsidRDefault="00DE4F13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10B" w:rsidRPr="00F83826" w:rsidRDefault="0001710B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4. Оцінка ефективності виконання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виконавчими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органами 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>районних у місті рад</w:t>
      </w:r>
      <w:r w:rsidR="00DE4FD6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окремих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Оцінка) запроваджується з 2021 року та здійснюється щоквартально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рейтинговою комісією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до 15-го числа місяця,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наступного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за звітним періодом.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A2F60" w:rsidRPr="00F83826">
        <w:rPr>
          <w:rFonts w:ascii="Times New Roman" w:hAnsi="Times New Roman" w:cs="Times New Roman"/>
          <w:sz w:val="28"/>
          <w:szCs w:val="28"/>
          <w:lang w:val="uk-UA"/>
        </w:rPr>
        <w:t>ерсональн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ий склад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>ейтингової комісії затверджується рішенням виконкому міської ради.</w:t>
      </w:r>
    </w:p>
    <w:p w:rsidR="00DE4F13" w:rsidRPr="00F83826" w:rsidRDefault="00DE4F13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10B" w:rsidRPr="00F83826" w:rsidRDefault="0001710B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5. Оцінка здійснюється на підставі ключових показників (індикаторів) згідно з цим рішенням виконкому</w:t>
      </w:r>
      <w:r w:rsidR="00725F0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Перелік ключових показників може змінюватися рішенням виконкому міської ради.</w:t>
      </w:r>
    </w:p>
    <w:p w:rsidR="00DE4F13" w:rsidRPr="00F83826" w:rsidRDefault="00DE4F13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10B" w:rsidRPr="00F83826" w:rsidRDefault="0001710B" w:rsidP="006710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6. За підсумками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– формується рейтинг ефективності виконання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виконавчими органами районних у місті рад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FD6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окремих повноважень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потреб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Кривого Рогу, </w:t>
      </w:r>
      <w:r w:rsidR="00471201" w:rsidRPr="00F8382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на розгляд виконкому міської ради. Виконком міської ради може вносити пропозиції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міській раді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виділення бюджетних субвенцій району для підтримки ініціатив.</w:t>
      </w:r>
    </w:p>
    <w:p w:rsidR="00DE4F13" w:rsidRPr="00F83826" w:rsidRDefault="00DE4F13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2D1" w:rsidRPr="00F83826" w:rsidRDefault="00C472D1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>1.7. У разі виявлення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виконком</w:t>
      </w:r>
      <w:r w:rsidR="00BC526D" w:rsidRPr="00F8382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, нижчої </w:t>
      </w:r>
      <w:proofErr w:type="spellStart"/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порогових</w:t>
      </w:r>
      <w:proofErr w:type="spellEnd"/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значень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, та тих, </w:t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мають тенденцію до системного зниження, може проводитися д</w:t>
      </w:r>
      <w:r w:rsidR="002F54F8" w:rsidRPr="00F83826">
        <w:rPr>
          <w:rFonts w:ascii="Times New Roman" w:hAnsi="Times New Roman" w:cs="Times New Roman"/>
          <w:sz w:val="28"/>
          <w:szCs w:val="28"/>
          <w:lang w:val="uk-UA"/>
        </w:rPr>
        <w:t>етальна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оцінка виконання посадовими особами делегованих повноважень або ініціюва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ися рекомендації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районни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у місті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щодо прийняття про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грам з підвищення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</w:t>
      </w:r>
      <w:r w:rsidR="002F54F8" w:rsidRPr="00F83826">
        <w:rPr>
          <w:rFonts w:ascii="Times New Roman" w:hAnsi="Times New Roman" w:cs="Times New Roman"/>
          <w:sz w:val="28"/>
          <w:szCs w:val="28"/>
          <w:lang w:val="uk-UA"/>
        </w:rPr>
        <w:t>роботи, якості управління органами місцевого самоврядування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 кадрових питань</w:t>
      </w:r>
      <w:r w:rsidR="002F54F8"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4F8" w:rsidRPr="00F83826" w:rsidRDefault="002F54F8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4F8" w:rsidRPr="00F83826" w:rsidRDefault="002F54F8" w:rsidP="00DE4FD6">
      <w:pPr>
        <w:pStyle w:val="a3"/>
        <w:spacing w:line="24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Порядок надання інформації, </w:t>
      </w:r>
      <w:r w:rsidR="0065302B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містить значення </w:t>
      </w:r>
    </w:p>
    <w:p w:rsidR="002F54F8" w:rsidRPr="00F83826" w:rsidRDefault="002F54F8" w:rsidP="00DE4FD6">
      <w:pPr>
        <w:pStyle w:val="a3"/>
        <w:spacing w:line="24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ключових показників (індикаторів) для </w:t>
      </w:r>
      <w:r w:rsidR="0065302B"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Оцінки</w:t>
      </w:r>
    </w:p>
    <w:p w:rsidR="00C16915" w:rsidRPr="00F83826" w:rsidRDefault="002F54F8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302B" w:rsidRPr="00F8382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. Як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вихідн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інформація, що надається департаментами, управліннями, відділами, іншими виконавчими органами міської ради, комунальними підприємствами та установами, засновниками яких є міська рада, відповідальними за надання інформації </w:t>
      </w:r>
      <w:r w:rsidR="00C16915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="00C16915" w:rsidRPr="00F83826">
        <w:rPr>
          <w:rFonts w:ascii="Times New Roman" w:hAnsi="Times New Roman" w:cs="Times New Roman"/>
          <w:sz w:val="28"/>
          <w:szCs w:val="28"/>
          <w:lang w:val="uk-UA"/>
        </w:rPr>
        <w:t>відповідно до цього рішення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6915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офіційних статистичних даних та результатів громадської оцінки на е-сервісах платформи SMART</w:t>
      </w:r>
      <w:r w:rsidR="00E4182C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ГРОМАДА – </w:t>
      </w:r>
      <w:r w:rsidR="006A2F60" w:rsidRPr="00F83826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="00C16915"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F13" w:rsidRPr="00F83826" w:rsidRDefault="00DE4F13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915" w:rsidRPr="00F83826" w:rsidRDefault="00C16915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 Відомості про ключові показники мають надаватися</w:t>
      </w:r>
      <w:r w:rsidR="00085317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85317" w:rsidRPr="00F83826">
        <w:rPr>
          <w:rFonts w:ascii="Times New Roman" w:hAnsi="Times New Roman" w:cs="Times New Roman"/>
          <w:sz w:val="28"/>
          <w:szCs w:val="28"/>
          <w:lang w:val="uk-UA"/>
        </w:rPr>
        <w:t>ейтинговій комісії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відповідними під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розділами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до 1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-го числа місяця, 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наступного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за звітним періодом</w:t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, передбаченим пунктом 1.4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6915" w:rsidRPr="00F83826" w:rsidRDefault="00C16915" w:rsidP="00DE4FD6">
      <w:pPr>
        <w:pStyle w:val="a3"/>
        <w:spacing w:line="245" w:lineRule="auto"/>
        <w:rPr>
          <w:lang w:val="uk-UA"/>
        </w:rPr>
      </w:pPr>
    </w:p>
    <w:p w:rsidR="00C16915" w:rsidRPr="00F83826" w:rsidRDefault="00C16915" w:rsidP="00DE4FD6">
      <w:pPr>
        <w:pStyle w:val="a3"/>
        <w:spacing w:line="24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Порядок оцінки</w:t>
      </w:r>
    </w:p>
    <w:p w:rsidR="00C16915" w:rsidRPr="00F83826" w:rsidRDefault="00C16915" w:rsidP="00DE4FD6">
      <w:pPr>
        <w:pStyle w:val="a3"/>
        <w:spacing w:line="24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C91" w:rsidRPr="00F83826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. Оцінка виконується 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протягом 5-денного терміну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за формулою:</w:t>
      </w:r>
    </w:p>
    <w:p w:rsidR="00C16915" w:rsidRPr="00F83826" w:rsidRDefault="00C16915" w:rsidP="00DE4FD6">
      <w:pPr>
        <w:pStyle w:val="a3"/>
        <w:spacing w:line="245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Ое</w:t>
      </w:r>
      <w:proofErr w:type="spellEnd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 </w:t>
      </w:r>
      <w:r w:rsidRPr="00F83826">
        <w:rPr>
          <w:rFonts w:ascii="Times New Roman" w:hAnsi="Times New Roman" w:cs="Times New Roman"/>
          <w:b/>
          <w:sz w:val="26"/>
          <w:szCs w:val="26"/>
          <w:lang w:val="uk-UA"/>
        </w:rPr>
        <w:t xml:space="preserve">∑ </w:t>
      </w: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ІПі</w:t>
      </w:r>
      <w:proofErr w:type="spellEnd"/>
      <w:r w:rsidRPr="00F83826">
        <w:rPr>
          <w:rFonts w:ascii="Times New Roman" w:hAnsi="Times New Roman" w:cs="Times New Roman"/>
          <w:sz w:val="28"/>
          <w:szCs w:val="28"/>
          <w:lang w:val="uk-UA"/>
        </w:rPr>
        <w:t>, де</w:t>
      </w:r>
    </w:p>
    <w:p w:rsidR="00C16915" w:rsidRPr="00F83826" w:rsidRDefault="00C16915" w:rsidP="00DE4FD6">
      <w:pPr>
        <w:pStyle w:val="a3"/>
        <w:spacing w:line="245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Ое</w:t>
      </w:r>
      <w:proofErr w:type="spellEnd"/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загальна оцінка ефективності;</w:t>
      </w:r>
    </w:p>
    <w:p w:rsidR="00C16915" w:rsidRPr="00F83826" w:rsidRDefault="00C16915" w:rsidP="00DE4FD6">
      <w:pPr>
        <w:pStyle w:val="a3"/>
        <w:spacing w:line="245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ІПі</w:t>
      </w:r>
      <w:proofErr w:type="spellEnd"/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– індекс ключового показника ефективності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F13" w:rsidRPr="00F83826" w:rsidRDefault="00DE4F13" w:rsidP="00DE4FD6">
      <w:pPr>
        <w:pStyle w:val="a3"/>
        <w:spacing w:line="245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16915" w:rsidRPr="00F83826" w:rsidRDefault="00B35C91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C16915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0C88" w:rsidRPr="00F83826">
        <w:rPr>
          <w:rFonts w:ascii="Times New Roman" w:hAnsi="Times New Roman" w:cs="Times New Roman"/>
          <w:sz w:val="28"/>
          <w:szCs w:val="28"/>
          <w:lang w:val="uk-UA"/>
        </w:rPr>
        <w:t>Індекс показника ефективності для кожного ключового показника розраховується за формулою:</w:t>
      </w:r>
    </w:p>
    <w:p w:rsidR="00AD0C88" w:rsidRPr="00F83826" w:rsidRDefault="00DE4F13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>3.2.1</w:t>
      </w:r>
      <w:r w:rsidR="00D670C4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показника, більш</w:t>
      </w:r>
      <w:r w:rsidR="00AD0C88" w:rsidRPr="00F83826">
        <w:rPr>
          <w:rFonts w:ascii="Times New Roman" w:hAnsi="Times New Roman" w:cs="Times New Roman"/>
          <w:sz w:val="28"/>
          <w:szCs w:val="28"/>
          <w:lang w:val="uk-UA"/>
        </w:rPr>
        <w:t>е значення якого відображає більшу ефективність:</w:t>
      </w:r>
    </w:p>
    <w:p w:rsidR="00AD0C88" w:rsidRPr="00F83826" w:rsidRDefault="00AD0C88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ІПі</w:t>
      </w:r>
      <w:proofErr w:type="spellEnd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(Ар - Амін) / (</w:t>
      </w:r>
      <w:proofErr w:type="spellStart"/>
      <w:r w:rsidR="003E43F8" w:rsidRPr="00F83826">
        <w:rPr>
          <w:rFonts w:ascii="Times New Roman" w:hAnsi="Times New Roman" w:cs="Times New Roman"/>
          <w:b/>
          <w:sz w:val="28"/>
          <w:szCs w:val="28"/>
          <w:lang w:val="uk-UA"/>
        </w:rPr>
        <w:t>Амакс</w:t>
      </w:r>
      <w:proofErr w:type="spellEnd"/>
      <w:r w:rsidR="003E43F8"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Амін)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, де:</w:t>
      </w:r>
    </w:p>
    <w:p w:rsidR="00AD0C88" w:rsidRPr="00F83826" w:rsidRDefault="00AD0C88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– значення показника ефективності з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звітний період по району;</w:t>
      </w:r>
    </w:p>
    <w:p w:rsidR="00AD0C88" w:rsidRPr="00F83826" w:rsidRDefault="00AD0C88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Амін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– мінімальне значення показника ефективності серед значень 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вс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х районах за звітний період;</w:t>
      </w:r>
    </w:p>
    <w:p w:rsidR="00AD0C88" w:rsidRPr="00F83826" w:rsidRDefault="00AD0C88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Амакс</w:t>
      </w:r>
      <w:proofErr w:type="spellEnd"/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максимальне значення показника ефективності серед значень 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вс</w:t>
      </w:r>
      <w:r w:rsidR="00DE4F13" w:rsidRPr="00F838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х районах за звітний період;</w:t>
      </w:r>
    </w:p>
    <w:p w:rsidR="00AD0C88" w:rsidRPr="00F83826" w:rsidRDefault="00DE4F13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0C88" w:rsidRPr="00F83826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AD0C8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показника, більше значення якого відображає меншу ефективність , за формулою:</w:t>
      </w:r>
    </w:p>
    <w:p w:rsidR="003E43F8" w:rsidRPr="00F83826" w:rsidRDefault="003E43F8" w:rsidP="00DE4FD6">
      <w:pPr>
        <w:pStyle w:val="a3"/>
        <w:spacing w:line="24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ІПі</w:t>
      </w:r>
      <w:proofErr w:type="spellEnd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(</w:t>
      </w: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Амакс</w:t>
      </w:r>
      <w:proofErr w:type="spellEnd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Ар) / (</w:t>
      </w:r>
      <w:proofErr w:type="spellStart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>Амакс</w:t>
      </w:r>
      <w:proofErr w:type="spellEnd"/>
      <w:r w:rsidRPr="00F83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Амін)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43F8" w:rsidRPr="00F83826" w:rsidRDefault="00DE4F13" w:rsidP="003E4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3.3. У випадку, коли один </w:t>
      </w:r>
      <w:r w:rsidR="003E43F8" w:rsidRPr="00F83826">
        <w:rPr>
          <w:rFonts w:ascii="Times New Roman" w:hAnsi="Times New Roman" w:cs="Times New Roman"/>
          <w:sz w:val="28"/>
          <w:szCs w:val="28"/>
          <w:lang w:val="uk-UA"/>
        </w:rPr>
        <w:t>з показників, що використовується для розрахунку ефективності, відсутній або дорівнює нулю, такому показнику визначається за звітний період нульов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43F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значення.</w:t>
      </w:r>
    </w:p>
    <w:p w:rsidR="003E43F8" w:rsidRPr="00F83826" w:rsidRDefault="003E43F8" w:rsidP="003E4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43F8" w:rsidRPr="00F83826" w:rsidRDefault="00DE4F13" w:rsidP="003E43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3E43F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. За результатами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3E43F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653669" w:rsidRPr="00F838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43F8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розподіляються відповідно зі значеннями показників за рівнем ефективності</w:t>
      </w:r>
      <w:r w:rsidR="000A20DE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цьому, району,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A20DE" w:rsidRPr="00F83826">
        <w:rPr>
          <w:rFonts w:ascii="Times New Roman" w:hAnsi="Times New Roman" w:cs="Times New Roman"/>
          <w:sz w:val="28"/>
          <w:szCs w:val="28"/>
          <w:lang w:val="uk-UA"/>
        </w:rPr>
        <w:t>має найбільше значення показника загальної ефективност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і, визначається 1 місце рейтингу, а району, який має найменший показник ефективності – останнє місце рейтингу. Для району,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посідає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останнє місце рейтингу більше 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разів протягом року</w:t>
      </w:r>
      <w:r w:rsidRPr="00F83826">
        <w:rPr>
          <w:rFonts w:ascii="Times New Roman" w:hAnsi="Times New Roman" w:cs="Times New Roman"/>
          <w:sz w:val="28"/>
          <w:szCs w:val="28"/>
          <w:lang w:val="uk-UA"/>
        </w:rPr>
        <w:t>, застосовуються норми пункт</w:t>
      </w:r>
      <w:r w:rsidR="00D92FF1" w:rsidRPr="00F8382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FF1" w:rsidRPr="00F8382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92FF1" w:rsidRPr="00F83826">
        <w:rPr>
          <w:rFonts w:ascii="Times New Roman" w:hAnsi="Times New Roman" w:cs="Times New Roman"/>
          <w:sz w:val="28"/>
          <w:szCs w:val="28"/>
          <w:lang w:val="uk-UA"/>
        </w:rPr>
        <w:t>–1.7</w:t>
      </w:r>
      <w:r w:rsidR="00416F19" w:rsidRPr="00F83826">
        <w:rPr>
          <w:rFonts w:ascii="Times New Roman" w:hAnsi="Times New Roman" w:cs="Times New Roman"/>
          <w:sz w:val="28"/>
          <w:szCs w:val="28"/>
          <w:lang w:val="uk-UA"/>
        </w:rPr>
        <w:t xml:space="preserve"> Методики.</w:t>
      </w:r>
    </w:p>
    <w:p w:rsidR="006A2F60" w:rsidRPr="00F83826" w:rsidRDefault="006A2F60" w:rsidP="006A2F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F60" w:rsidRPr="00F83826" w:rsidRDefault="006A2F60" w:rsidP="006A2F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F60" w:rsidRPr="00F83826" w:rsidRDefault="006A2F60" w:rsidP="006A2F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F60" w:rsidRPr="00F83826" w:rsidRDefault="006A2F60" w:rsidP="006A2F6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F60" w:rsidRPr="00F83826" w:rsidRDefault="006A2F60" w:rsidP="006A2F6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8382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AD0C88" w:rsidRPr="00F83826" w:rsidRDefault="00AD0C88" w:rsidP="00AD0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AD0C88" w:rsidRPr="00F83826" w:rsidRDefault="00AD0C88" w:rsidP="00AD0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0C88" w:rsidRPr="00F83826" w:rsidSect="00416F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33" w:rsidRDefault="00307833" w:rsidP="00416F19">
      <w:pPr>
        <w:spacing w:after="0" w:line="240" w:lineRule="auto"/>
      </w:pPr>
      <w:r>
        <w:separator/>
      </w:r>
    </w:p>
  </w:endnote>
  <w:endnote w:type="continuationSeparator" w:id="0">
    <w:p w:rsidR="00307833" w:rsidRDefault="00307833" w:rsidP="0041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33" w:rsidRDefault="00307833" w:rsidP="00416F19">
      <w:pPr>
        <w:spacing w:after="0" w:line="240" w:lineRule="auto"/>
      </w:pPr>
      <w:r>
        <w:separator/>
      </w:r>
    </w:p>
  </w:footnote>
  <w:footnote w:type="continuationSeparator" w:id="0">
    <w:p w:rsidR="00307833" w:rsidRDefault="00307833" w:rsidP="0041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87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6F19" w:rsidRPr="00DE4FD6" w:rsidRDefault="00416F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4F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4F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4F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38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4F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60"/>
    <w:rsid w:val="0001710B"/>
    <w:rsid w:val="00085317"/>
    <w:rsid w:val="000A20DE"/>
    <w:rsid w:val="002F54F8"/>
    <w:rsid w:val="00307833"/>
    <w:rsid w:val="003D68CB"/>
    <w:rsid w:val="003E43F8"/>
    <w:rsid w:val="00416F19"/>
    <w:rsid w:val="00471201"/>
    <w:rsid w:val="004F193B"/>
    <w:rsid w:val="00510100"/>
    <w:rsid w:val="005655BD"/>
    <w:rsid w:val="0065302B"/>
    <w:rsid w:val="00653669"/>
    <w:rsid w:val="00656760"/>
    <w:rsid w:val="0067108B"/>
    <w:rsid w:val="006A2F60"/>
    <w:rsid w:val="006E426C"/>
    <w:rsid w:val="00725F08"/>
    <w:rsid w:val="00736ED0"/>
    <w:rsid w:val="00824FB6"/>
    <w:rsid w:val="008F0B0D"/>
    <w:rsid w:val="00A340EB"/>
    <w:rsid w:val="00AD0C88"/>
    <w:rsid w:val="00B35C91"/>
    <w:rsid w:val="00B579CD"/>
    <w:rsid w:val="00BC526D"/>
    <w:rsid w:val="00BE7C62"/>
    <w:rsid w:val="00C16915"/>
    <w:rsid w:val="00C472D1"/>
    <w:rsid w:val="00C67DED"/>
    <w:rsid w:val="00D43949"/>
    <w:rsid w:val="00D670C4"/>
    <w:rsid w:val="00D92FF1"/>
    <w:rsid w:val="00DE4F13"/>
    <w:rsid w:val="00DE4FD6"/>
    <w:rsid w:val="00E4182C"/>
    <w:rsid w:val="00EC4D9B"/>
    <w:rsid w:val="00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F19"/>
  </w:style>
  <w:style w:type="paragraph" w:styleId="a6">
    <w:name w:val="footer"/>
    <w:basedOn w:val="a"/>
    <w:link w:val="a7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F19"/>
  </w:style>
  <w:style w:type="paragraph" w:styleId="a6">
    <w:name w:val="footer"/>
    <w:basedOn w:val="a"/>
    <w:link w:val="a7"/>
    <w:uiPriority w:val="99"/>
    <w:unhideWhenUsed/>
    <w:rsid w:val="0041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18</cp:revision>
  <cp:lastPrinted>2021-02-24T14:18:00Z</cp:lastPrinted>
  <dcterms:created xsi:type="dcterms:W3CDTF">2021-02-05T11:35:00Z</dcterms:created>
  <dcterms:modified xsi:type="dcterms:W3CDTF">2021-03-19T07:42:00Z</dcterms:modified>
</cp:coreProperties>
</file>