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E10408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F3944" w:rsidRPr="007D2091" w:rsidRDefault="00406286" w:rsidP="007D2091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27.05.2020 №4758</w:t>
      </w:r>
    </w:p>
    <w:p w:rsidR="007D2091" w:rsidRPr="003C2024" w:rsidRDefault="007D2091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C139E4" w:rsidRPr="003C2024" w:rsidRDefault="00C139E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uk-UA" w:eastAsia="uk-UA"/>
        </w:rPr>
      </w:pPr>
    </w:p>
    <w:p w:rsidR="003A7329" w:rsidRPr="001D0A60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1D0A60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8A3891" w:rsidRDefault="008A3891" w:rsidP="008A3891">
      <w:pPr>
        <w:pStyle w:val="21"/>
        <w:tabs>
          <w:tab w:val="left" w:pos="709"/>
        </w:tabs>
        <w:jc w:val="center"/>
        <w:rPr>
          <w:b/>
        </w:rPr>
      </w:pPr>
      <w:r w:rsidRPr="001D0A60">
        <w:rPr>
          <w:b/>
        </w:rPr>
        <w:t>суб’єкт</w:t>
      </w:r>
      <w:r w:rsidR="00FF4CB3" w:rsidRPr="001D0A60">
        <w:rPr>
          <w:b/>
        </w:rPr>
        <w:t>ів</w:t>
      </w:r>
      <w:r w:rsidRPr="001D0A60">
        <w:rPr>
          <w:b/>
        </w:rPr>
        <w:t xml:space="preserve"> звернення, яким  відмовлено  </w:t>
      </w:r>
      <w:r w:rsidR="00112EDE" w:rsidRPr="001D0A60">
        <w:rPr>
          <w:b/>
        </w:rPr>
        <w:t>в</w:t>
      </w:r>
      <w:r w:rsidRPr="001D0A60">
        <w:rPr>
          <w:b/>
        </w:rPr>
        <w:t xml:space="preserve"> наданні </w:t>
      </w:r>
      <w:r w:rsidR="00E10408" w:rsidRPr="001D0A60">
        <w:rPr>
          <w:b/>
        </w:rPr>
        <w:t>адміністративних послуг</w:t>
      </w:r>
    </w:p>
    <w:p w:rsidR="007D2091" w:rsidRPr="001D0A60" w:rsidRDefault="007D2091" w:rsidP="008A3891">
      <w:pPr>
        <w:pStyle w:val="21"/>
        <w:tabs>
          <w:tab w:val="left" w:pos="709"/>
        </w:tabs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2283"/>
        <w:gridCol w:w="2835"/>
        <w:gridCol w:w="3118"/>
        <w:gridCol w:w="6804"/>
      </w:tblGrid>
      <w:tr w:rsidR="00E10408" w:rsidRPr="001D0A60" w:rsidTr="000742AE">
        <w:trPr>
          <w:cantSplit/>
          <w:trHeight w:val="285"/>
        </w:trPr>
        <w:tc>
          <w:tcPr>
            <w:tcW w:w="0" w:type="auto"/>
          </w:tcPr>
          <w:p w:rsidR="00E10408" w:rsidRPr="001D0A60" w:rsidRDefault="00E10408" w:rsidP="00FF4C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1D0A60">
              <w:rPr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:rsidR="00E10408" w:rsidRPr="001D0A60" w:rsidRDefault="00E10408" w:rsidP="00FF4C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1D0A60">
              <w:rPr>
                <w:sz w:val="24"/>
                <w:szCs w:val="24"/>
              </w:rPr>
              <w:t>Суб’єкт</w:t>
            </w:r>
          </w:p>
          <w:p w:rsidR="00E10408" w:rsidRPr="001D0A60" w:rsidRDefault="00E10408" w:rsidP="00FF4C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1D0A60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835" w:type="dxa"/>
          </w:tcPr>
          <w:p w:rsidR="00E10408" w:rsidRPr="001D0A60" w:rsidRDefault="00E10408" w:rsidP="00112EDE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1D0A60">
              <w:rPr>
                <w:sz w:val="24"/>
                <w:szCs w:val="24"/>
              </w:rPr>
              <w:t>Послуга</w:t>
            </w:r>
          </w:p>
        </w:tc>
        <w:tc>
          <w:tcPr>
            <w:tcW w:w="3118" w:type="dxa"/>
          </w:tcPr>
          <w:p w:rsidR="00893F22" w:rsidRDefault="00E10408" w:rsidP="000742AE">
            <w:pPr>
              <w:pStyle w:val="8"/>
              <w:rPr>
                <w:b/>
                <w:i/>
                <w:sz w:val="24"/>
                <w:szCs w:val="24"/>
              </w:rPr>
            </w:pPr>
            <w:r w:rsidRPr="001D0A60">
              <w:rPr>
                <w:b/>
                <w:i/>
                <w:sz w:val="24"/>
                <w:szCs w:val="24"/>
              </w:rPr>
              <w:t>Підстави відмов</w:t>
            </w:r>
          </w:p>
          <w:p w:rsidR="00E10408" w:rsidRPr="001D0A60" w:rsidRDefault="00E10408" w:rsidP="00893F22">
            <w:pPr>
              <w:pStyle w:val="8"/>
              <w:rPr>
                <w:b/>
                <w:i/>
                <w:sz w:val="24"/>
                <w:szCs w:val="24"/>
              </w:rPr>
            </w:pPr>
            <w:r w:rsidRPr="001D0A60">
              <w:rPr>
                <w:b/>
                <w:i/>
                <w:sz w:val="24"/>
                <w:szCs w:val="24"/>
              </w:rPr>
              <w:t>и</w:t>
            </w:r>
            <w:r w:rsidR="00893F22">
              <w:rPr>
                <w:b/>
                <w:i/>
                <w:sz w:val="24"/>
                <w:szCs w:val="24"/>
              </w:rPr>
              <w:t xml:space="preserve"> в наданні послуги</w:t>
            </w:r>
          </w:p>
        </w:tc>
        <w:tc>
          <w:tcPr>
            <w:tcW w:w="6804" w:type="dxa"/>
          </w:tcPr>
          <w:p w:rsidR="00E10408" w:rsidRPr="001D0A60" w:rsidRDefault="00E10408" w:rsidP="008A3891">
            <w:pPr>
              <w:pStyle w:val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C139E4" w:rsidRPr="001D0A60" w:rsidTr="000742AE">
        <w:trPr>
          <w:cantSplit/>
          <w:trHeight w:val="285"/>
        </w:trPr>
        <w:tc>
          <w:tcPr>
            <w:tcW w:w="0" w:type="auto"/>
          </w:tcPr>
          <w:p w:rsidR="00C139E4" w:rsidRPr="001D0A60" w:rsidRDefault="00C139E4" w:rsidP="00FF4C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C139E4" w:rsidRPr="001D0A60" w:rsidRDefault="00C139E4" w:rsidP="00FF4C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139E4" w:rsidRPr="001D0A60" w:rsidRDefault="00C139E4" w:rsidP="00112EDE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139E4" w:rsidRPr="001D0A60" w:rsidRDefault="00C139E4" w:rsidP="000742AE">
            <w:pPr>
              <w:pStyle w:val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139E4" w:rsidRDefault="00C139E4" w:rsidP="008A3891">
            <w:pPr>
              <w:pStyle w:val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E10408" w:rsidRPr="003C2024" w:rsidTr="000742AE">
        <w:trPr>
          <w:cantSplit/>
          <w:trHeight w:val="2013"/>
        </w:trPr>
        <w:tc>
          <w:tcPr>
            <w:tcW w:w="0" w:type="auto"/>
          </w:tcPr>
          <w:p w:rsidR="00E10408" w:rsidRPr="001D0A60" w:rsidRDefault="00E10408" w:rsidP="00112EDE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E179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83" w:type="dxa"/>
          </w:tcPr>
          <w:p w:rsidR="00E10408" w:rsidRDefault="00E10408" w:rsidP="00E0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Громадяни</w:t>
            </w:r>
          </w:p>
          <w:p w:rsidR="00E10408" w:rsidRDefault="00E10408" w:rsidP="00E01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Ейвазов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Акбер</w:t>
            </w:r>
            <w:proofErr w:type="spellEnd"/>
            <w:r w:rsidRPr="00E104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E10408" w:rsidRDefault="00E10408" w:rsidP="00E01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ru-RU"/>
              </w:rPr>
            </w:pPr>
            <w:proofErr w:type="spellStart"/>
            <w:r w:rsidRPr="00E104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Шафи</w:t>
            </w:r>
            <w:proofErr w:type="spellEnd"/>
            <w:r w:rsidRPr="00E104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4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огли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ru-RU"/>
              </w:rPr>
              <w:t>,</w:t>
            </w:r>
          </w:p>
          <w:p w:rsidR="00E10408" w:rsidRDefault="00E10408" w:rsidP="00E01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 w:eastAsia="ru-RU"/>
              </w:rPr>
            </w:pPr>
            <w:r w:rsidRPr="00E104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4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Ейва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зов</w:t>
            </w:r>
            <w:proofErr w:type="spellEnd"/>
            <w:r w:rsidRPr="00E104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Руста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</w:p>
          <w:p w:rsidR="00E10408" w:rsidRPr="00E10408" w:rsidRDefault="00E10408" w:rsidP="00E01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104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4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Джам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булович</w:t>
            </w:r>
            <w:proofErr w:type="spellEnd"/>
          </w:p>
        </w:tc>
        <w:tc>
          <w:tcPr>
            <w:tcW w:w="2835" w:type="dxa"/>
          </w:tcPr>
          <w:p w:rsidR="00E10408" w:rsidRPr="001E2904" w:rsidRDefault="00E10408" w:rsidP="00FC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90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E10408" w:rsidRPr="001E2904" w:rsidRDefault="00E10408" w:rsidP="00FC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42AE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1E2904">
              <w:rPr>
                <w:rFonts w:ascii="Times New Roman" w:hAnsi="Times New Roman"/>
                <w:sz w:val="24"/>
                <w:szCs w:val="24"/>
                <w:lang w:val="uk-UA"/>
              </w:rPr>
              <w:t>ослуга</w:t>
            </w:r>
            <w:r w:rsidR="000742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№28</w:t>
            </w:r>
            <w:r w:rsidRPr="001E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C42E8" w:rsidRDefault="00E10408" w:rsidP="00FC4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5D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D2023" w:rsidRPr="005D20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Видача рішення міської ради про надання згоди на поділ земельної ділянки (об’єднання земельних ділянок), що перебуває в </w:t>
            </w:r>
          </w:p>
          <w:p w:rsidR="00E10408" w:rsidRPr="005D2023" w:rsidRDefault="005D2023" w:rsidP="00FC4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D20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користуванні</w:t>
            </w:r>
            <w:r w:rsidR="00E10408" w:rsidRPr="005D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E10408" w:rsidRPr="006E1793" w:rsidRDefault="003256B0" w:rsidP="00E61295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</w:t>
            </w:r>
            <w:r w:rsidR="00E6129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документів</w:t>
            </w:r>
          </w:p>
        </w:tc>
        <w:tc>
          <w:tcPr>
            <w:tcW w:w="6804" w:type="dxa"/>
          </w:tcPr>
          <w:p w:rsidR="00FC42E8" w:rsidRPr="006E1793" w:rsidRDefault="00E61295" w:rsidP="00FC42E8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У</w:t>
            </w:r>
            <w:r w:rsidR="00FC42E8" w:rsidRPr="00FC42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наданому на розгляд пакеті документів відсутні пропозиції щ</w:t>
            </w:r>
            <w:r w:rsidR="00FC42E8" w:rsidRPr="00FC42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="00FC42E8" w:rsidRPr="00FC42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до варіантів поділу земельної ділянки та можливих розмірів утв</w:t>
            </w:r>
            <w:r w:rsidR="00FC42E8" w:rsidRPr="00FC42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="00FC42E8" w:rsidRPr="00FC42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рених земельних ділянок, які закріплюються за новими (виділ</w:t>
            </w:r>
            <w:r w:rsidR="00FC42E8" w:rsidRPr="00FC42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 w:rsidR="00FC42E8" w:rsidRPr="00FC42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ними) об’єктами  нерухомого майна з урахуванням існуючих о</w:t>
            </w:r>
            <w:r w:rsidR="00FC42E8" w:rsidRPr="00FC42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б</w:t>
            </w:r>
            <w:r w:rsidR="00FC42E8" w:rsidRPr="00FC42E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межень (обтяжень) на їх використання</w:t>
            </w:r>
            <w:r w:rsidR="00E10408" w:rsidRPr="006E17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(інформаційна картка адміністративної послуги №</w:t>
            </w:r>
            <w:r w:rsidR="00FC42E8">
              <w:rPr>
                <w:rFonts w:ascii="Times New Roman" w:hAnsi="Times New Roman"/>
                <w:sz w:val="24"/>
                <w:szCs w:val="24"/>
                <w:lang w:val="uk-UA"/>
              </w:rPr>
              <w:t>28, затвердженої</w:t>
            </w:r>
            <w:r w:rsidR="00E10408" w:rsidRPr="006E17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рішенням вико</w:t>
            </w:r>
            <w:r w:rsidR="00E10408" w:rsidRPr="006E1793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E10408" w:rsidRPr="006E17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 міської ради від </w:t>
            </w:r>
            <w:r w:rsidR="00FC42E8" w:rsidRPr="00FC42E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13.11.2019 №518</w:t>
            </w:r>
            <w:r w:rsidR="00E10408" w:rsidRPr="006E179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E10408" w:rsidRPr="003C2024" w:rsidTr="000742AE">
        <w:trPr>
          <w:cantSplit/>
          <w:trHeight w:val="2110"/>
        </w:trPr>
        <w:tc>
          <w:tcPr>
            <w:tcW w:w="0" w:type="auto"/>
          </w:tcPr>
          <w:p w:rsidR="00E10408" w:rsidRPr="007D2091" w:rsidRDefault="00E10408" w:rsidP="00112E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209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83" w:type="dxa"/>
          </w:tcPr>
          <w:p w:rsidR="00081F2E" w:rsidRDefault="00081F2E" w:rsidP="003256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Громадянин</w:t>
            </w:r>
          </w:p>
          <w:p w:rsidR="00E10408" w:rsidRDefault="00081F2E" w:rsidP="003256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Скоро</w:t>
            </w:r>
            <w:r w:rsidR="00BA2FCE">
              <w:rPr>
                <w:rFonts w:ascii="Times New Roman" w:hAnsi="Times New Roman"/>
                <w:sz w:val="24"/>
                <w:szCs w:val="24"/>
                <w:lang w:val="uk-UA"/>
              </w:rPr>
              <w:t>богатко</w:t>
            </w:r>
            <w:proofErr w:type="spellEnd"/>
          </w:p>
          <w:p w:rsidR="00BA2FCE" w:rsidRDefault="00BA2FCE" w:rsidP="003256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Денис</w:t>
            </w:r>
          </w:p>
          <w:p w:rsidR="00BA2FCE" w:rsidRPr="007D2091" w:rsidRDefault="00BA2FCE" w:rsidP="003256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2835" w:type="dxa"/>
          </w:tcPr>
          <w:p w:rsidR="00E10408" w:rsidRPr="007D2091" w:rsidRDefault="00E10408" w:rsidP="00FC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09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E10408" w:rsidRPr="007D2091" w:rsidRDefault="00E10408" w:rsidP="00FC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0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42AE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D2091">
              <w:rPr>
                <w:rFonts w:ascii="Times New Roman" w:hAnsi="Times New Roman"/>
                <w:sz w:val="24"/>
                <w:szCs w:val="24"/>
                <w:lang w:val="uk-UA"/>
              </w:rPr>
              <w:t>ослуга</w:t>
            </w:r>
            <w:r w:rsidR="000742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№2</w:t>
            </w:r>
            <w:r w:rsidRPr="007D20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10408" w:rsidRPr="007D2091" w:rsidRDefault="00E10408" w:rsidP="00FC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0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</w:t>
            </w:r>
          </w:p>
          <w:p w:rsidR="00E10408" w:rsidRPr="007D2091" w:rsidRDefault="00E10408" w:rsidP="00FC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0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про </w:t>
            </w:r>
          </w:p>
          <w:p w:rsidR="00E10408" w:rsidRPr="001D0A60" w:rsidRDefault="00E10408" w:rsidP="00C01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D2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1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 оренду зем</w:t>
            </w:r>
            <w:r w:rsidR="00C01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C01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льних</w:t>
            </w:r>
            <w:r w:rsidR="007D2091" w:rsidRPr="007D2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ділянок</w:t>
            </w:r>
            <w:r w:rsidR="00C01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</w:t>
            </w:r>
            <w:r w:rsidR="00C01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C01C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бувають у комунальній власності</w:t>
            </w:r>
            <w:r w:rsidRPr="007D2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E10408" w:rsidRPr="001D0A60" w:rsidRDefault="00BA2FCE" w:rsidP="003256B0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6804" w:type="dxa"/>
          </w:tcPr>
          <w:p w:rsidR="00CA26AB" w:rsidRDefault="00CA26AB" w:rsidP="00CA26AB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Документація із </w:t>
            </w:r>
            <w:r w:rsidR="003B72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землеустрою щодо відведення земельної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нки було </w:t>
            </w:r>
            <w:r w:rsidR="003B72F9">
              <w:rPr>
                <w:rFonts w:ascii="Times New Roman" w:hAnsi="Times New Roman"/>
                <w:sz w:val="24"/>
                <w:szCs w:val="24"/>
                <w:lang w:val="uk-UA"/>
              </w:rPr>
              <w:t>розробле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="003B72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замовлення попереднього власника розташованого на ній нерухомого м</w:t>
            </w:r>
            <w:r w:rsidR="00C01C9F">
              <w:rPr>
                <w:rFonts w:ascii="Times New Roman" w:hAnsi="Times New Roman"/>
                <w:sz w:val="24"/>
                <w:szCs w:val="24"/>
                <w:lang w:val="uk-UA"/>
              </w:rPr>
              <w:t>айна, а саме: А</w:t>
            </w:r>
            <w:r w:rsidR="00E61295">
              <w:rPr>
                <w:rFonts w:ascii="Times New Roman" w:hAnsi="Times New Roman"/>
                <w:sz w:val="24"/>
                <w:szCs w:val="24"/>
                <w:lang w:val="uk-UA"/>
              </w:rPr>
              <w:t>кціонерного товариства</w:t>
            </w:r>
            <w:r w:rsidR="00C01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«Кристал Банк», т</w:t>
            </w:r>
            <w:r w:rsidR="000A1D5C">
              <w:rPr>
                <w:rFonts w:ascii="Times New Roman" w:hAnsi="Times New Roman"/>
                <w:sz w:val="24"/>
                <w:szCs w:val="24"/>
                <w:lang w:val="uk-UA"/>
              </w:rPr>
              <w:t>а погоджена в установленому з</w:t>
            </w:r>
            <w:r w:rsidR="000A1D5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0A1D5C">
              <w:rPr>
                <w:rFonts w:ascii="Times New Roman" w:hAnsi="Times New Roman"/>
                <w:sz w:val="24"/>
                <w:szCs w:val="24"/>
                <w:lang w:val="uk-UA"/>
              </w:rPr>
              <w:t>коном порядку.</w:t>
            </w:r>
          </w:p>
          <w:p w:rsidR="00E10408" w:rsidRDefault="00CA26AB" w:rsidP="000A1D5C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Заявник, який на теперішній час є </w:t>
            </w:r>
            <w:r w:rsidR="00C01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власником нерухом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майна</w:t>
            </w:r>
            <w:r w:rsidR="000A1D5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зареєстрований в </w:t>
            </w:r>
            <w:r w:rsidR="002C1E0C" w:rsidRP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</w:t>
            </w:r>
            <w:r w:rsid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="002C1E0C" w:rsidRP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</w:t>
            </w:r>
            <w:r w:rsid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="002C1E0C" w:rsidRP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</w:t>
            </w:r>
            <w:r w:rsid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C1E0C" w:rsidRP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</w:t>
            </w:r>
            <w:r w:rsidR="002C1E0C" w:rsidRP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2C1E0C" w:rsidRP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дичних осіб, фізичних осіб-підприємців та громадських форм</w:t>
            </w:r>
            <w:r w:rsidR="002C1E0C" w:rsidRP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C1E0C" w:rsidRP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вань</w:t>
            </w:r>
            <w:r w:rsidR="000A1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фізична особа-підприємець. Основні види</w:t>
            </w:r>
            <w:r w:rsid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  <w:r w:rsidR="000A1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підприємця (</w:t>
            </w:r>
            <w:r w:rsidR="002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оптова та роздрібна торгівля</w:t>
            </w:r>
            <w:r w:rsidR="000A1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не відповідають з</w:t>
            </w:r>
            <w:r w:rsidR="000A1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0A1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пропонованому проектом землеустрою цільовому призначенню земельної ділянки, а саме: </w:t>
            </w:r>
            <w:r w:rsidR="000A1D5C">
              <w:rPr>
                <w:rFonts w:ascii="Times New Roman" w:hAnsi="Times New Roman"/>
                <w:sz w:val="24"/>
                <w:szCs w:val="24"/>
                <w:lang w:val="uk-UA"/>
              </w:rPr>
              <w:t>«землі для будівництва та обслуг</w:t>
            </w:r>
            <w:r w:rsidR="000A1D5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0A1D5C">
              <w:rPr>
                <w:rFonts w:ascii="Times New Roman" w:hAnsi="Times New Roman"/>
                <w:sz w:val="24"/>
                <w:szCs w:val="24"/>
                <w:lang w:val="uk-UA"/>
              </w:rPr>
              <w:t>вування будівель кредитно-фінансових установ (код 03.09)»</w:t>
            </w:r>
          </w:p>
          <w:p w:rsidR="00893F22" w:rsidRPr="001D0A60" w:rsidRDefault="00893F22" w:rsidP="000A1D5C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893F22" w:rsidRPr="00C139E4" w:rsidTr="00893F22">
        <w:trPr>
          <w:cantSplit/>
          <w:trHeight w:val="283"/>
        </w:trPr>
        <w:tc>
          <w:tcPr>
            <w:tcW w:w="0" w:type="auto"/>
          </w:tcPr>
          <w:p w:rsidR="00893F22" w:rsidRPr="001D0A60" w:rsidRDefault="00893F22" w:rsidP="00C329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83" w:type="dxa"/>
          </w:tcPr>
          <w:p w:rsidR="00893F22" w:rsidRPr="001D0A60" w:rsidRDefault="00893F22" w:rsidP="00C329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93F22" w:rsidRPr="001D0A60" w:rsidRDefault="00893F22" w:rsidP="00C329B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93F22" w:rsidRPr="001D0A60" w:rsidRDefault="00893F22" w:rsidP="00C329B3">
            <w:pPr>
              <w:pStyle w:val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93F22" w:rsidRDefault="00893F22" w:rsidP="00C329B3">
            <w:pPr>
              <w:pStyle w:val="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893F22" w:rsidRPr="00AF4656" w:rsidTr="000742AE">
        <w:trPr>
          <w:cantSplit/>
          <w:trHeight w:val="2110"/>
        </w:trPr>
        <w:tc>
          <w:tcPr>
            <w:tcW w:w="0" w:type="auto"/>
          </w:tcPr>
          <w:p w:rsidR="00893F22" w:rsidRPr="007D2091" w:rsidRDefault="00893F22" w:rsidP="00112E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83" w:type="dxa"/>
          </w:tcPr>
          <w:p w:rsidR="00893F22" w:rsidRDefault="00893F22" w:rsidP="003256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Публічн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9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F22" w:rsidRDefault="00893F22" w:rsidP="003256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3F22">
              <w:rPr>
                <w:rFonts w:ascii="Times New Roman" w:hAnsi="Times New Roman" w:cs="Times New Roman"/>
                <w:sz w:val="24"/>
                <w:szCs w:val="24"/>
              </w:rPr>
              <w:t>акціонерн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9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F22" w:rsidRDefault="00893F22" w:rsidP="003256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3F22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9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F22" w:rsidRPr="00223911" w:rsidRDefault="00893F22" w:rsidP="003256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F22">
              <w:rPr>
                <w:rFonts w:ascii="Times New Roman" w:hAnsi="Times New Roman" w:cs="Times New Roman"/>
                <w:sz w:val="24"/>
                <w:szCs w:val="24"/>
              </w:rPr>
              <w:t xml:space="preserve">«АрселорМіттал </w:t>
            </w:r>
            <w:proofErr w:type="spellStart"/>
            <w:r w:rsidRPr="00893F22">
              <w:rPr>
                <w:rFonts w:ascii="Times New Roman" w:hAnsi="Times New Roman" w:cs="Times New Roman"/>
                <w:sz w:val="24"/>
                <w:szCs w:val="24"/>
              </w:rPr>
              <w:t>Кривий</w:t>
            </w:r>
            <w:proofErr w:type="spellEnd"/>
            <w:r w:rsidRPr="0089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3F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3F22">
              <w:rPr>
                <w:rFonts w:ascii="Times New Roman" w:hAnsi="Times New Roman" w:cs="Times New Roman"/>
                <w:sz w:val="24"/>
                <w:szCs w:val="24"/>
              </w:rPr>
              <w:t>іг</w:t>
            </w:r>
            <w:proofErr w:type="spellEnd"/>
            <w:r w:rsidR="00223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C329B3" w:rsidRPr="001E2904" w:rsidRDefault="00C329B3" w:rsidP="00C32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90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C329B3" w:rsidRPr="001E2904" w:rsidRDefault="00C329B3" w:rsidP="00C32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1E2904">
              <w:rPr>
                <w:rFonts w:ascii="Times New Roman" w:hAnsi="Times New Roman"/>
                <w:sz w:val="24"/>
                <w:szCs w:val="24"/>
                <w:lang w:val="uk-UA"/>
              </w:rPr>
              <w:t>ослуга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№29</w:t>
            </w:r>
            <w:r w:rsidRPr="001E2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93F22" w:rsidRPr="007D2091" w:rsidRDefault="00C329B3" w:rsidP="009E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D20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Видача рішення міської ради про 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погодження те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х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нічної документації щодо </w:t>
            </w:r>
            <w:r w:rsidRPr="005D20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поділ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 та об’єднання </w:t>
            </w:r>
            <w:r w:rsidRPr="005D20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з</w:t>
            </w:r>
            <w:r w:rsidRPr="005D20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</w:t>
            </w:r>
            <w:r w:rsidRPr="005D20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мельної ділянки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й нада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ня в користування сфо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мованих земельних діл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я</w:t>
            </w:r>
            <w:r w:rsidR="009E2AF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нок</w:t>
            </w:r>
            <w:r w:rsidRPr="005D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893F22" w:rsidRDefault="009E2AF1" w:rsidP="003256B0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6804" w:type="dxa"/>
          </w:tcPr>
          <w:p w:rsidR="00AF4656" w:rsidRDefault="00AF4656" w:rsidP="00CA26AB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Відповідно до ст. 79-1 Земельного кодексу України в</w:t>
            </w:r>
            <w:r w:rsidR="006D0ED7">
              <w:rPr>
                <w:rFonts w:ascii="Times New Roman" w:hAnsi="Times New Roman"/>
                <w:sz w:val="24"/>
                <w:szCs w:val="24"/>
                <w:lang w:val="uk-UA"/>
              </w:rPr>
              <w:t>несені в Державний земельний кадастр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</w:t>
            </w:r>
            <w:r w:rsidR="006D0E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сформовані в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зультаті поділу земельні ділянки мають відповідати </w:t>
            </w:r>
            <w:r w:rsidR="0095284B">
              <w:rPr>
                <w:rFonts w:ascii="Times New Roman" w:hAnsi="Times New Roman"/>
                <w:sz w:val="24"/>
                <w:szCs w:val="24"/>
                <w:lang w:val="uk-UA"/>
              </w:rPr>
              <w:t>даним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земельну ділянку, </w:t>
            </w:r>
            <w:r w:rsidR="006D0ED7">
              <w:rPr>
                <w:rFonts w:ascii="Times New Roman" w:hAnsi="Times New Roman"/>
                <w:sz w:val="24"/>
                <w:szCs w:val="24"/>
                <w:lang w:val="uk-UA"/>
              </w:rPr>
              <w:t>що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теперішній час перебуває в корист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ванні заявника на підставі чинного договору оренди.</w:t>
            </w:r>
          </w:p>
          <w:p w:rsidR="00893F22" w:rsidRDefault="00AF4656" w:rsidP="0095284B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 </w:t>
            </w:r>
            <w:r w:rsidR="00E5768C">
              <w:rPr>
                <w:rFonts w:ascii="Times New Roman" w:hAnsi="Times New Roman"/>
                <w:sz w:val="24"/>
                <w:szCs w:val="24"/>
                <w:lang w:val="uk-UA"/>
              </w:rPr>
              <w:t>Заявником та розробником документації із землеустрою не враховані вимоги ст.21 Закону України «Про державний зем</w:t>
            </w:r>
            <w:r w:rsidR="00E5768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E576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льний кадастр», згідно з якими </w:t>
            </w:r>
            <w:r w:rsidR="0095284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E576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разі зміни виду використання земельної ділянки (крім земель сільськогосподарського при</w:t>
            </w:r>
            <w:r w:rsidR="00E5768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E5768C">
              <w:rPr>
                <w:rFonts w:ascii="Times New Roman" w:hAnsi="Times New Roman"/>
                <w:sz w:val="24"/>
                <w:szCs w:val="24"/>
                <w:lang w:val="uk-UA"/>
              </w:rPr>
              <w:t>начення та земель оборони) відповідні відомості вносяться до Державного земельного кадастру на підставі письмової заяви користувача земельної ділянки державної чи комунальної вла</w:t>
            </w:r>
            <w:r w:rsidR="00E5768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E576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ності </w:t>
            </w:r>
          </w:p>
        </w:tc>
      </w:tr>
      <w:tr w:rsidR="00C2734D" w:rsidRPr="0004614F" w:rsidTr="000742AE">
        <w:trPr>
          <w:cantSplit/>
          <w:trHeight w:val="2110"/>
        </w:trPr>
        <w:tc>
          <w:tcPr>
            <w:tcW w:w="0" w:type="auto"/>
          </w:tcPr>
          <w:p w:rsidR="00926522" w:rsidRPr="00107492" w:rsidRDefault="00926522" w:rsidP="00112E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49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83" w:type="dxa"/>
          </w:tcPr>
          <w:p w:rsidR="00926522" w:rsidRPr="00107492" w:rsidRDefault="00926522" w:rsidP="00AF4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7492">
              <w:rPr>
                <w:rFonts w:ascii="Times New Roman" w:hAnsi="Times New Roman"/>
                <w:sz w:val="24"/>
                <w:szCs w:val="24"/>
                <w:lang w:val="uk-UA"/>
              </w:rPr>
              <w:t>Громадяни</w:t>
            </w:r>
            <w:r w:rsidR="00107492" w:rsidRPr="0010749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</w:p>
          <w:p w:rsidR="00926522" w:rsidRPr="00107492" w:rsidRDefault="00107492" w:rsidP="00AF46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Каланатаєвський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 Володимир Вол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димирович</w:t>
            </w:r>
            <w:r w:rsidR="00926522" w:rsidRP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,</w:t>
            </w:r>
          </w:p>
          <w:p w:rsidR="00107492" w:rsidRDefault="00926522" w:rsidP="001074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107492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8B4315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ф</w:t>
            </w:r>
            <w:r w:rsid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ізична особа-підприємець </w:t>
            </w:r>
          </w:p>
          <w:p w:rsidR="00107492" w:rsidRPr="00107492" w:rsidRDefault="00107492" w:rsidP="0010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Таран Анатолій Дмитрович</w:t>
            </w:r>
          </w:p>
          <w:p w:rsidR="00926522" w:rsidRPr="00107492" w:rsidRDefault="00926522" w:rsidP="00AF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26522" w:rsidRPr="00107492" w:rsidRDefault="00926522" w:rsidP="00AF4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7492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926522" w:rsidRPr="00107492" w:rsidRDefault="00926522" w:rsidP="00AF4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74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№28 </w:t>
            </w:r>
          </w:p>
          <w:p w:rsidR="00926522" w:rsidRPr="00107492" w:rsidRDefault="00926522" w:rsidP="00AF46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107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Видача рішення міської ради про надання згоди на поділ земельної ділянки (об’єднання земельних ділянок), що перебуває в </w:t>
            </w:r>
          </w:p>
          <w:p w:rsidR="00926522" w:rsidRPr="00107492" w:rsidRDefault="00926522" w:rsidP="00AF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користуванні</w:t>
            </w:r>
            <w:r w:rsidRPr="00107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926522" w:rsidRPr="00107492" w:rsidRDefault="00926522" w:rsidP="00AF4656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7492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6804" w:type="dxa"/>
          </w:tcPr>
          <w:p w:rsidR="00926522" w:rsidRDefault="0004614F" w:rsidP="00107492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1. </w:t>
            </w:r>
            <w:r w:rsidR="00926522" w:rsidRP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 наданому на роз</w:t>
            </w:r>
            <w:r w:rsid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гляд пакеті документів відсутні: нотаріально посвідчена згода на поділ чи об</w:t>
            </w:r>
            <w:r w:rsidR="00107492" w:rsidRP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’</w:t>
            </w:r>
            <w:r w:rsid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єднання земельної ділянки кори</w:t>
            </w:r>
            <w:r w:rsid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</w:t>
            </w:r>
            <w:r w:rsid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тувачів земельної ділянки з проектом її поділу чи об</w:t>
            </w:r>
            <w:r w:rsidR="00107492" w:rsidRP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’</w:t>
            </w:r>
            <w:r w:rsid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єднання та  висновок щодо технічної можливості поділу об</w:t>
            </w:r>
            <w:r w:rsidR="00107492" w:rsidRP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’</w:t>
            </w:r>
            <w:r w:rsidR="0010749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єкта нерухомого майна</w:t>
            </w:r>
            <w:r w:rsidR="0023773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926522" w:rsidRPr="001074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(інформаційна картка адміністративної послуги №28, затвердженої рішенням виконкому міської ради від </w:t>
            </w:r>
            <w:r w:rsidR="00926522" w:rsidRPr="0010749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13.11.2019 №518</w:t>
            </w:r>
            <w:r w:rsidR="00926522" w:rsidRPr="0010749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4614F" w:rsidRPr="00107492" w:rsidRDefault="0004614F" w:rsidP="00107492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2. Відсутнє підтвердження, що нерухоме майно з</w:t>
            </w:r>
            <w:r w:rsidR="00146C2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адресою:                вул. Черкасова, 1</w:t>
            </w:r>
            <w:r w:rsidR="0023773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розташоване на земельній ділянці з кадастровим номером 1211000000:07:006:0028</w:t>
            </w:r>
          </w:p>
        </w:tc>
      </w:tr>
    </w:tbl>
    <w:p w:rsidR="0060719A" w:rsidRPr="003C2024" w:rsidRDefault="0060719A" w:rsidP="003C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Default="00F55F04" w:rsidP="003C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2024" w:rsidRPr="003C2024" w:rsidRDefault="003C2024" w:rsidP="003C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3C2024" w:rsidRDefault="00236228" w:rsidP="003C2024">
      <w:pPr>
        <w:tabs>
          <w:tab w:val="left" w:pos="7088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D229E" w:rsidRPr="001D0A60" w:rsidRDefault="00E013EE" w:rsidP="003C2024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0A60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1D0A6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8D229E" w:rsidRPr="001D0A60" w:rsidSect="00893F22">
      <w:headerReference w:type="default" r:id="rId8"/>
      <w:pgSz w:w="16838" w:h="11906" w:orient="landscape"/>
      <w:pgMar w:top="850" w:right="567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4D" w:rsidRDefault="001E0E4D" w:rsidP="00965113">
      <w:pPr>
        <w:spacing w:after="0" w:line="240" w:lineRule="auto"/>
      </w:pPr>
      <w:r>
        <w:separator/>
      </w:r>
    </w:p>
  </w:endnote>
  <w:endnote w:type="continuationSeparator" w:id="0">
    <w:p w:rsidR="001E0E4D" w:rsidRDefault="001E0E4D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4D" w:rsidRDefault="001E0E4D" w:rsidP="00965113">
      <w:pPr>
        <w:spacing w:after="0" w:line="240" w:lineRule="auto"/>
      </w:pPr>
      <w:r>
        <w:separator/>
      </w:r>
    </w:p>
  </w:footnote>
  <w:footnote w:type="continuationSeparator" w:id="0">
    <w:p w:rsidR="001E0E4D" w:rsidRDefault="001E0E4D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768C" w:rsidRPr="00965113" w:rsidRDefault="00E5768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62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768C" w:rsidRPr="00C045C1" w:rsidRDefault="00E5768C" w:rsidP="007D2091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37EFB"/>
    <w:rsid w:val="0004614F"/>
    <w:rsid w:val="00050C8F"/>
    <w:rsid w:val="000538C7"/>
    <w:rsid w:val="000622DC"/>
    <w:rsid w:val="00065E65"/>
    <w:rsid w:val="00066A7E"/>
    <w:rsid w:val="00070E3C"/>
    <w:rsid w:val="000742AE"/>
    <w:rsid w:val="00075DB1"/>
    <w:rsid w:val="00081F2E"/>
    <w:rsid w:val="00084707"/>
    <w:rsid w:val="00095FD5"/>
    <w:rsid w:val="000A1D5C"/>
    <w:rsid w:val="000A47E3"/>
    <w:rsid w:val="000A621B"/>
    <w:rsid w:val="000B0DD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07492"/>
    <w:rsid w:val="00112EDE"/>
    <w:rsid w:val="001145F3"/>
    <w:rsid w:val="00116B9B"/>
    <w:rsid w:val="00116ECA"/>
    <w:rsid w:val="00126506"/>
    <w:rsid w:val="0013070E"/>
    <w:rsid w:val="0014327A"/>
    <w:rsid w:val="00146ACB"/>
    <w:rsid w:val="00146C2B"/>
    <w:rsid w:val="001525E5"/>
    <w:rsid w:val="00155EB2"/>
    <w:rsid w:val="00160F4B"/>
    <w:rsid w:val="00167718"/>
    <w:rsid w:val="001735CE"/>
    <w:rsid w:val="00181A98"/>
    <w:rsid w:val="0018278B"/>
    <w:rsid w:val="00193DD0"/>
    <w:rsid w:val="00195D59"/>
    <w:rsid w:val="001A6936"/>
    <w:rsid w:val="001C2B59"/>
    <w:rsid w:val="001C7068"/>
    <w:rsid w:val="001C743E"/>
    <w:rsid w:val="001D0A60"/>
    <w:rsid w:val="001D2534"/>
    <w:rsid w:val="001E0211"/>
    <w:rsid w:val="001E0E4D"/>
    <w:rsid w:val="001E2904"/>
    <w:rsid w:val="001E32A7"/>
    <w:rsid w:val="001F3B10"/>
    <w:rsid w:val="00200493"/>
    <w:rsid w:val="00202C28"/>
    <w:rsid w:val="00202E5A"/>
    <w:rsid w:val="0022152C"/>
    <w:rsid w:val="00222E8E"/>
    <w:rsid w:val="00223911"/>
    <w:rsid w:val="00227A9C"/>
    <w:rsid w:val="00236228"/>
    <w:rsid w:val="00236A17"/>
    <w:rsid w:val="0023773B"/>
    <w:rsid w:val="00241B04"/>
    <w:rsid w:val="002573E1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3D94"/>
    <w:rsid w:val="0029789D"/>
    <w:rsid w:val="002A4982"/>
    <w:rsid w:val="002A5AF0"/>
    <w:rsid w:val="002B5F2A"/>
    <w:rsid w:val="002B67FD"/>
    <w:rsid w:val="002C07BC"/>
    <w:rsid w:val="002C138F"/>
    <w:rsid w:val="002C1E0C"/>
    <w:rsid w:val="002C2EAB"/>
    <w:rsid w:val="002C6D1F"/>
    <w:rsid w:val="002D0556"/>
    <w:rsid w:val="002D1310"/>
    <w:rsid w:val="002D2307"/>
    <w:rsid w:val="002D535F"/>
    <w:rsid w:val="002D61AD"/>
    <w:rsid w:val="002D73CC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56B0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7329"/>
    <w:rsid w:val="003B0001"/>
    <w:rsid w:val="003B6AB8"/>
    <w:rsid w:val="003B72F9"/>
    <w:rsid w:val="003C2024"/>
    <w:rsid w:val="003C420E"/>
    <w:rsid w:val="003C5412"/>
    <w:rsid w:val="003D1230"/>
    <w:rsid w:val="003E1AAD"/>
    <w:rsid w:val="003E23D4"/>
    <w:rsid w:val="003F2D58"/>
    <w:rsid w:val="003F74A6"/>
    <w:rsid w:val="003F7AA1"/>
    <w:rsid w:val="00406286"/>
    <w:rsid w:val="00416B87"/>
    <w:rsid w:val="00416C24"/>
    <w:rsid w:val="00426F64"/>
    <w:rsid w:val="00430769"/>
    <w:rsid w:val="00433C83"/>
    <w:rsid w:val="004340E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003C2"/>
    <w:rsid w:val="0051567B"/>
    <w:rsid w:val="005247A0"/>
    <w:rsid w:val="00533962"/>
    <w:rsid w:val="0053551B"/>
    <w:rsid w:val="00537284"/>
    <w:rsid w:val="00543BA9"/>
    <w:rsid w:val="00551E04"/>
    <w:rsid w:val="005530D0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2023"/>
    <w:rsid w:val="005D43D4"/>
    <w:rsid w:val="005D48E1"/>
    <w:rsid w:val="005D5BC4"/>
    <w:rsid w:val="005E6CBD"/>
    <w:rsid w:val="005F2B05"/>
    <w:rsid w:val="005F58E7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D03F9"/>
    <w:rsid w:val="006D0ED7"/>
    <w:rsid w:val="006D2B40"/>
    <w:rsid w:val="006E1793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7674"/>
    <w:rsid w:val="007D2091"/>
    <w:rsid w:val="007D4917"/>
    <w:rsid w:val="007F6862"/>
    <w:rsid w:val="0082760B"/>
    <w:rsid w:val="008300BB"/>
    <w:rsid w:val="008414D6"/>
    <w:rsid w:val="008444FC"/>
    <w:rsid w:val="00857656"/>
    <w:rsid w:val="00864CEB"/>
    <w:rsid w:val="0087316E"/>
    <w:rsid w:val="00880383"/>
    <w:rsid w:val="00880B06"/>
    <w:rsid w:val="00882D0C"/>
    <w:rsid w:val="00891D72"/>
    <w:rsid w:val="008930C0"/>
    <w:rsid w:val="00893538"/>
    <w:rsid w:val="00893F22"/>
    <w:rsid w:val="00895B1E"/>
    <w:rsid w:val="008973D2"/>
    <w:rsid w:val="008A3891"/>
    <w:rsid w:val="008A4B04"/>
    <w:rsid w:val="008A60F3"/>
    <w:rsid w:val="008A77AC"/>
    <w:rsid w:val="008B2B43"/>
    <w:rsid w:val="008B4315"/>
    <w:rsid w:val="008C3649"/>
    <w:rsid w:val="008C7DD8"/>
    <w:rsid w:val="008D1B4F"/>
    <w:rsid w:val="008D229E"/>
    <w:rsid w:val="008D79E6"/>
    <w:rsid w:val="008E3C44"/>
    <w:rsid w:val="008F6B67"/>
    <w:rsid w:val="00910F34"/>
    <w:rsid w:val="0091196E"/>
    <w:rsid w:val="00915AFE"/>
    <w:rsid w:val="0091797A"/>
    <w:rsid w:val="00917E5B"/>
    <w:rsid w:val="009212A8"/>
    <w:rsid w:val="0092151D"/>
    <w:rsid w:val="009233D3"/>
    <w:rsid w:val="00924B05"/>
    <w:rsid w:val="00925117"/>
    <w:rsid w:val="00926522"/>
    <w:rsid w:val="00926BEF"/>
    <w:rsid w:val="00926F75"/>
    <w:rsid w:val="0093124E"/>
    <w:rsid w:val="009342F7"/>
    <w:rsid w:val="00943B81"/>
    <w:rsid w:val="00945ADC"/>
    <w:rsid w:val="0095284B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7944"/>
    <w:rsid w:val="009B627F"/>
    <w:rsid w:val="009B79C2"/>
    <w:rsid w:val="009D0BF5"/>
    <w:rsid w:val="009D4F2F"/>
    <w:rsid w:val="009D5341"/>
    <w:rsid w:val="009E2AF1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14E"/>
    <w:rsid w:val="00A43C0E"/>
    <w:rsid w:val="00A47AD7"/>
    <w:rsid w:val="00A50F69"/>
    <w:rsid w:val="00A51B21"/>
    <w:rsid w:val="00A5392F"/>
    <w:rsid w:val="00A607D4"/>
    <w:rsid w:val="00A6596C"/>
    <w:rsid w:val="00A77CF2"/>
    <w:rsid w:val="00A84A2E"/>
    <w:rsid w:val="00A86D08"/>
    <w:rsid w:val="00A90B18"/>
    <w:rsid w:val="00A942C0"/>
    <w:rsid w:val="00A94D88"/>
    <w:rsid w:val="00A97D15"/>
    <w:rsid w:val="00AD265B"/>
    <w:rsid w:val="00AD26FB"/>
    <w:rsid w:val="00AD5E45"/>
    <w:rsid w:val="00AE63F9"/>
    <w:rsid w:val="00AE7B2C"/>
    <w:rsid w:val="00AF1E48"/>
    <w:rsid w:val="00AF3E90"/>
    <w:rsid w:val="00AF4656"/>
    <w:rsid w:val="00AF4BA9"/>
    <w:rsid w:val="00B03886"/>
    <w:rsid w:val="00B16188"/>
    <w:rsid w:val="00B20651"/>
    <w:rsid w:val="00B2070D"/>
    <w:rsid w:val="00B207E5"/>
    <w:rsid w:val="00B274ED"/>
    <w:rsid w:val="00B301E0"/>
    <w:rsid w:val="00B304DA"/>
    <w:rsid w:val="00B53A9E"/>
    <w:rsid w:val="00B56DC4"/>
    <w:rsid w:val="00B56DCA"/>
    <w:rsid w:val="00B630E7"/>
    <w:rsid w:val="00B638FD"/>
    <w:rsid w:val="00B86BD0"/>
    <w:rsid w:val="00B91BB8"/>
    <w:rsid w:val="00B91FFF"/>
    <w:rsid w:val="00B97A09"/>
    <w:rsid w:val="00BA2FCE"/>
    <w:rsid w:val="00BA367E"/>
    <w:rsid w:val="00BB68F2"/>
    <w:rsid w:val="00BC34C2"/>
    <w:rsid w:val="00BC740D"/>
    <w:rsid w:val="00BD175D"/>
    <w:rsid w:val="00BD66BD"/>
    <w:rsid w:val="00BE1645"/>
    <w:rsid w:val="00BE455C"/>
    <w:rsid w:val="00BF1CAA"/>
    <w:rsid w:val="00BF3944"/>
    <w:rsid w:val="00BF3C53"/>
    <w:rsid w:val="00C01C9F"/>
    <w:rsid w:val="00C01D47"/>
    <w:rsid w:val="00C045C1"/>
    <w:rsid w:val="00C06FAC"/>
    <w:rsid w:val="00C10128"/>
    <w:rsid w:val="00C109DD"/>
    <w:rsid w:val="00C129CA"/>
    <w:rsid w:val="00C130EB"/>
    <w:rsid w:val="00C139E4"/>
    <w:rsid w:val="00C22128"/>
    <w:rsid w:val="00C2734D"/>
    <w:rsid w:val="00C3061C"/>
    <w:rsid w:val="00C30A64"/>
    <w:rsid w:val="00C329B3"/>
    <w:rsid w:val="00C47CB6"/>
    <w:rsid w:val="00C6535C"/>
    <w:rsid w:val="00C7099C"/>
    <w:rsid w:val="00C70E85"/>
    <w:rsid w:val="00C82E66"/>
    <w:rsid w:val="00C87F32"/>
    <w:rsid w:val="00C91079"/>
    <w:rsid w:val="00C95D11"/>
    <w:rsid w:val="00CA26AB"/>
    <w:rsid w:val="00CB6B90"/>
    <w:rsid w:val="00CB743E"/>
    <w:rsid w:val="00CB74E3"/>
    <w:rsid w:val="00CD3EA7"/>
    <w:rsid w:val="00CE6682"/>
    <w:rsid w:val="00CE7F8B"/>
    <w:rsid w:val="00CF5E4B"/>
    <w:rsid w:val="00D05909"/>
    <w:rsid w:val="00D066EC"/>
    <w:rsid w:val="00D11012"/>
    <w:rsid w:val="00D17677"/>
    <w:rsid w:val="00D178F1"/>
    <w:rsid w:val="00D22CEE"/>
    <w:rsid w:val="00D444B4"/>
    <w:rsid w:val="00D44D70"/>
    <w:rsid w:val="00D53481"/>
    <w:rsid w:val="00D54903"/>
    <w:rsid w:val="00D56BB4"/>
    <w:rsid w:val="00D628E6"/>
    <w:rsid w:val="00D64A03"/>
    <w:rsid w:val="00D66687"/>
    <w:rsid w:val="00D66D8A"/>
    <w:rsid w:val="00D67B96"/>
    <w:rsid w:val="00D70E49"/>
    <w:rsid w:val="00D72EC6"/>
    <w:rsid w:val="00D814B8"/>
    <w:rsid w:val="00D902EB"/>
    <w:rsid w:val="00D932C9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01FBB"/>
    <w:rsid w:val="00E10408"/>
    <w:rsid w:val="00E14BF1"/>
    <w:rsid w:val="00E20D20"/>
    <w:rsid w:val="00E21D50"/>
    <w:rsid w:val="00E26185"/>
    <w:rsid w:val="00E4467E"/>
    <w:rsid w:val="00E525FD"/>
    <w:rsid w:val="00E5768C"/>
    <w:rsid w:val="00E61295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02E9"/>
    <w:rsid w:val="00EE1DB5"/>
    <w:rsid w:val="00EF7375"/>
    <w:rsid w:val="00F13A4E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43D8"/>
    <w:rsid w:val="00F55F04"/>
    <w:rsid w:val="00F71338"/>
    <w:rsid w:val="00F731B6"/>
    <w:rsid w:val="00F766BF"/>
    <w:rsid w:val="00F7751E"/>
    <w:rsid w:val="00F814AD"/>
    <w:rsid w:val="00F96341"/>
    <w:rsid w:val="00FA0770"/>
    <w:rsid w:val="00FA0FE6"/>
    <w:rsid w:val="00FA4B55"/>
    <w:rsid w:val="00FB3FCE"/>
    <w:rsid w:val="00FB5889"/>
    <w:rsid w:val="00FC32F7"/>
    <w:rsid w:val="00FC3F8B"/>
    <w:rsid w:val="00FC42E8"/>
    <w:rsid w:val="00FD3E9E"/>
    <w:rsid w:val="00FF4CB3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166B-A363-41AC-983A-AF4015DD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6</cp:revision>
  <cp:lastPrinted>2020-05-15T08:43:00Z</cp:lastPrinted>
  <dcterms:created xsi:type="dcterms:W3CDTF">2020-05-15T08:14:00Z</dcterms:created>
  <dcterms:modified xsi:type="dcterms:W3CDTF">2020-05-28T10:38:00Z</dcterms:modified>
</cp:coreProperties>
</file>