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B85BAB" w:rsidRDefault="0005565A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B85BA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073C9C" w:rsidRPr="00B85BAB">
        <w:rPr>
          <w:rFonts w:ascii="Times New Roman" w:hAnsi="Times New Roman"/>
          <w:i/>
          <w:sz w:val="24"/>
          <w:szCs w:val="28"/>
          <w:lang w:val="uk-UA"/>
        </w:rPr>
        <w:t>Додаток 4</w:t>
      </w:r>
    </w:p>
    <w:p w:rsidR="00EE269F" w:rsidRPr="00B85BAB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B85BAB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693842" w:rsidRPr="00B85BAB">
        <w:rPr>
          <w:rFonts w:ascii="Times New Roman" w:hAnsi="Times New Roman"/>
          <w:i/>
          <w:sz w:val="24"/>
          <w:szCs w:val="28"/>
          <w:lang w:val="uk-UA"/>
        </w:rPr>
        <w:t xml:space="preserve">            </w:t>
      </w:r>
      <w:r w:rsidR="0005565A" w:rsidRPr="00B85BAB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Pr="00B85BAB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B85BAB" w:rsidRDefault="00B85BAB" w:rsidP="00B85BAB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B85BAB">
        <w:rPr>
          <w:rFonts w:ascii="Times New Roman" w:hAnsi="Times New Roman"/>
          <w:sz w:val="24"/>
          <w:szCs w:val="24"/>
          <w:lang w:val="uk-UA"/>
        </w:rPr>
        <w:tab/>
      </w:r>
      <w:r w:rsidRPr="00B85BAB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693842" w:rsidRPr="00B85BAB" w:rsidRDefault="00693842" w:rsidP="006938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85B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693842" w:rsidRPr="00B85BAB" w:rsidRDefault="00693842" w:rsidP="006938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85B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C868DE" w:rsidRPr="00B85BAB" w:rsidRDefault="00C868DE" w:rsidP="003E7A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1A5BB7" w:rsidRPr="00B85BAB" w:rsidRDefault="001A5BB7" w:rsidP="001A5BB7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85B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№12</w:t>
      </w:r>
    </w:p>
    <w:p w:rsidR="001A5BB7" w:rsidRPr="00B85BAB" w:rsidRDefault="001A5BB7" w:rsidP="001A5BB7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1A5BB7" w:rsidRPr="00B85BAB" w:rsidRDefault="001A5BB7" w:rsidP="001A5BB7">
      <w:pPr>
        <w:tabs>
          <w:tab w:val="left" w:pos="3969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B85BAB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</w:r>
    </w:p>
    <w:p w:rsidR="001A5BB7" w:rsidRPr="00B85BAB" w:rsidRDefault="001A5BB7" w:rsidP="001A5BB7">
      <w:pPr>
        <w:tabs>
          <w:tab w:val="left" w:pos="3969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4"/>
          <w:szCs w:val="24"/>
          <w:highlight w:val="cyan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1A5BB7" w:rsidRPr="00B85BA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9E6F99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3E17A5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3E17A5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D251F0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9E6F99" w:rsidRPr="00B85BAB" w:rsidRDefault="00D251F0" w:rsidP="00D251F0">
            <w:pPr>
              <w:spacing w:after="0" w:line="21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9E6F99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7056D3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shd w:val="clear" w:color="auto" w:fill="auto"/>
            <w:hideMark/>
          </w:tcPr>
          <w:p w:rsidR="00D251F0" w:rsidRPr="00B85BAB" w:rsidRDefault="00D251F0" w:rsidP="00D251F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D251F0" w:rsidRPr="00B85BAB" w:rsidRDefault="00D251F0" w:rsidP="00D251F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D251F0" w:rsidRPr="00B85BAB" w:rsidRDefault="00D251F0" w:rsidP="00D251F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- територіальні підрозділи: </w:t>
            </w:r>
            <w:r w:rsidR="00A92F7B"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 понеділка по п’ятницю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з 8.30 до 17.00, перерва з 12.30 до 13.00.</w:t>
            </w:r>
          </w:p>
          <w:p w:rsidR="00D251F0" w:rsidRPr="00B85BAB" w:rsidRDefault="00D251F0" w:rsidP="00D251F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D251F0" w:rsidRPr="00B85BAB" w:rsidRDefault="00D251F0" w:rsidP="00D251F0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9E6F99" w:rsidRPr="00B85BAB" w:rsidRDefault="00D251F0" w:rsidP="00D251F0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- у територіальних підрозділах: </w:t>
            </w:r>
            <w:r w:rsidR="00A92F7B"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 понеділка по п’ятницю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з 9.00 до 16.00 години, перерва з 12.30 до 13.00</w:t>
            </w:r>
          </w:p>
        </w:tc>
      </w:tr>
      <w:tr w:rsidR="009E6F99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9E6F99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9E6F99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405395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405395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F99" w:rsidRPr="00B85BAB" w:rsidRDefault="009E6F9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9E6F99" w:rsidRPr="00B85BAB" w:rsidRDefault="00EA1A51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9E6F99" w:rsidRPr="00B85BA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9E6F99" w:rsidRPr="00B85BAB" w:rsidRDefault="00EA1A51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9E6F99" w:rsidRPr="00B85BA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9E6F99" w:rsidRPr="00B85BAB" w:rsidRDefault="009E6F99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9E6F99" w:rsidRPr="00B85BAB" w:rsidRDefault="0005565A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A56177" w:rsidRPr="00B85BAB" w:rsidRDefault="000E6502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1A5BB7" w:rsidRPr="00B85BA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B85BAB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B85BAB" w:rsidRDefault="001A5BB7" w:rsidP="009B71EA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9E6F99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18 листопада </w:t>
            </w:r>
            <w:r w:rsidR="00D24390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E6F99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</w:t>
            </w:r>
            <w:r w:rsidRPr="00B85BA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A5BB7" w:rsidRPr="00B85BAB" w:rsidRDefault="001A5BB7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Міністерства юстиції України від 09</w:t>
            </w:r>
            <w:r w:rsidR="009E6F99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лютого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E6F99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79456E" w:rsidRPr="00B85BAB" w:rsidRDefault="001A5BB7" w:rsidP="00693842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9E6F99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9E6F99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1A5BB7" w:rsidRPr="00B85BAB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 (надалі – заявник)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A070B3" w:rsidRPr="00B85BAB" w:rsidRDefault="00A070B3" w:rsidP="00A070B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A070B3" w:rsidRPr="00B85BAB" w:rsidRDefault="00A070B3" w:rsidP="00A070B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1" w:name="n1322"/>
            <w:bookmarkStart w:id="2" w:name="n1319"/>
            <w:bookmarkEnd w:id="1"/>
            <w:bookmarkEnd w:id="2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витяг, виписка чи інший документ з торговельного, банківського, судового реєстру тощо, що підтвер</w:t>
            </w:r>
            <w:r w:rsidR="00D24390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джує реєстрацію юридичної особи</w:t>
            </w:r>
            <w:r w:rsidR="00333038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24390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333038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в країні її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</w:t>
            </w:r>
            <w:r w:rsidR="00333038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ходження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– у разі, якщо засновником юри</w:t>
            </w:r>
            <w:r w:rsidR="005B09D4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дичної особи є юридична особа - 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нерезидент;</w:t>
            </w:r>
          </w:p>
          <w:p w:rsidR="00A070B3" w:rsidRPr="00B85BAB" w:rsidRDefault="00A070B3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n1321"/>
            <w:bookmarkStart w:id="4" w:name="n1320"/>
            <w:bookmarkEnd w:id="3"/>
            <w:bookmarkEnd w:id="4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власником юридично</w:t>
            </w:r>
            <w:r w:rsidR="00D24390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ї особи, – для фізичної особи</w:t>
            </w:r>
            <w:r w:rsidR="005B09D4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24390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="005B09D4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нерезидента та, якщо такий документ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офор</w:t>
            </w:r>
            <w:r w:rsidR="005B09D4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млений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без застосування засобів Єдиного державного демографічного реєстру, – для фі</w:t>
            </w:r>
            <w:r w:rsidR="005B09D4"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зичної особи -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резидента;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установчий документ юридичної особи;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6006B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юридичної особи.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D24390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79456E" w:rsidRPr="00B85BAB" w:rsidRDefault="0079456E" w:rsidP="0079456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1A5BB7" w:rsidRPr="00B85BAB" w:rsidRDefault="001A5BB7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A25705"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1A5BB7" w:rsidRPr="00B85BAB" w:rsidTr="00C0172C">
        <w:trPr>
          <w:trHeight w:val="797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D749D2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1A5BB7" w:rsidRPr="00B85BAB" w:rsidRDefault="001A5BB7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BB7" w:rsidRPr="00B85BAB" w:rsidRDefault="001A5BB7" w:rsidP="009B71EA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1A5BB7" w:rsidRPr="00B85BAB" w:rsidRDefault="001A5BB7" w:rsidP="009B71EA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754AA3" w:rsidRPr="00B85BAB" w:rsidRDefault="001A5BB7" w:rsidP="00B87ABB">
            <w:pPr>
              <w:pStyle w:val="a3"/>
              <w:tabs>
                <w:tab w:val="left" w:pos="81"/>
              </w:tabs>
              <w:spacing w:after="0" w:line="240" w:lineRule="auto"/>
              <w:ind w:left="-61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586DEB" w:rsidRPr="00B85BAB" w:rsidRDefault="00586DEB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A5BB7" w:rsidRPr="00B85BAB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A5BB7" w:rsidRPr="00B85BAB" w:rsidRDefault="001A5BB7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754AA3" w:rsidRPr="00B85BAB" w:rsidRDefault="001A5BB7" w:rsidP="00586DEB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A34B0"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856DD7" w:rsidRPr="00B85BAB" w:rsidRDefault="00856DD7" w:rsidP="00856DD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</w:t>
            </w: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DA34B0" w:rsidRPr="00B85BAB" w:rsidRDefault="00856DD7" w:rsidP="00856DD7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B85B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1A5BB7" w:rsidRPr="00B85BAB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1A5BB7" w:rsidRPr="00B85BAB" w:rsidRDefault="001A5BB7" w:rsidP="009B71EA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754AA3" w:rsidRPr="00B85BAB" w:rsidRDefault="001A5BB7" w:rsidP="00A56177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A5BB7" w:rsidRPr="00B85BAB" w:rsidTr="009B71EA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5BB7" w:rsidRPr="00B85BAB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осіб-підприємців та громадських формувань та установчий документ юридичної особи) в електронній формі</w:t>
            </w: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1A5BB7" w:rsidRPr="00B85BAB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28212D"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="008725BC"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  <w:r w:rsidR="0014233C" w:rsidRPr="00B85BAB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1A5BB7" w:rsidRPr="00B85BAB" w:rsidRDefault="001A5BB7" w:rsidP="009B71EA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B85BA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C212C" w:rsidRPr="00B85BAB" w:rsidRDefault="003C212C" w:rsidP="003C212C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r w:rsidRPr="00B85BAB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* </w:t>
      </w:r>
      <w:r w:rsidRPr="00B85BAB">
        <w:rPr>
          <w:rFonts w:ascii="Times New Roman" w:hAnsi="Times New Roman"/>
          <w:sz w:val="24"/>
          <w:szCs w:val="24"/>
          <w:lang w:val="uk-UA"/>
        </w:rPr>
        <w:t>Після доопрацювання порталу електронних сервісів, який буде забезпечувати можливість подання таких документів в електронній формі.</w:t>
      </w:r>
    </w:p>
    <w:p w:rsidR="00334F14" w:rsidRPr="00B85BAB" w:rsidRDefault="00334F14" w:rsidP="00334F14">
      <w:pPr>
        <w:tabs>
          <w:tab w:val="left" w:pos="9564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  <w:r w:rsidRPr="00B85BAB">
        <w:rPr>
          <w:rFonts w:ascii="Times New Roman" w:eastAsia="Times New Roman" w:hAnsi="Times New Roman"/>
          <w:sz w:val="24"/>
          <w:szCs w:val="24"/>
          <w:lang w:val="uk-UA" w:eastAsia="en-US"/>
        </w:rPr>
        <w:t>** Після впровадження програмного забезпечення Єдиного державного реєстру юридичних осіб, фізичних осіб-підприємців та громадських формувань, створеного відповідно до Закону України</w:t>
      </w:r>
      <w:r w:rsidR="00C0172C" w:rsidRPr="00B85BAB">
        <w:rPr>
          <w:rFonts w:ascii="Times New Roman" w:eastAsia="Times New Roman" w:hAnsi="Times New Roman"/>
          <w:sz w:val="24"/>
          <w:szCs w:val="24"/>
          <w:lang w:val="uk-UA" w:eastAsia="en-US"/>
        </w:rPr>
        <w:t xml:space="preserve"> </w:t>
      </w:r>
      <w:r w:rsidRPr="00B85BAB">
        <w:rPr>
          <w:rFonts w:ascii="Times New Roman" w:eastAsia="Times New Roman" w:hAnsi="Times New Roman"/>
          <w:sz w:val="24"/>
          <w:szCs w:val="24"/>
          <w:lang w:val="uk-UA" w:eastAsia="en-US"/>
        </w:rPr>
        <w:t>«Про державну реєстрацію юридичних осіб, фізичних осіб-підприємців та громадських формувань».</w:t>
      </w:r>
    </w:p>
    <w:p w:rsidR="00073C9C" w:rsidRPr="00B85BAB" w:rsidRDefault="00073C9C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5565A" w:rsidRPr="00B85BAB" w:rsidRDefault="0005565A" w:rsidP="000556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85BAB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05565A" w:rsidRPr="00B85BAB" w:rsidRDefault="0005565A" w:rsidP="000556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85BAB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05565A" w:rsidRPr="00B85BAB" w:rsidRDefault="0005565A" w:rsidP="000556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85BA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05565A" w:rsidRPr="00B85BAB" w:rsidRDefault="0005565A" w:rsidP="00073C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73C9C" w:rsidRPr="00B85BAB" w:rsidRDefault="00073C9C" w:rsidP="00073C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85BAB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№12</w:t>
      </w:r>
    </w:p>
    <w:p w:rsidR="00073C9C" w:rsidRPr="00B85BAB" w:rsidRDefault="00073C9C" w:rsidP="00073C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73C9C" w:rsidRPr="00B85BAB" w:rsidRDefault="00073C9C" w:rsidP="00073C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B85BAB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</w:r>
    </w:p>
    <w:p w:rsidR="00073C9C" w:rsidRPr="00B85BAB" w:rsidRDefault="00073C9C" w:rsidP="00073C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73C9C" w:rsidRPr="00B85BAB" w:rsidRDefault="00073C9C" w:rsidP="00073C9C">
      <w:pPr>
        <w:spacing w:after="0"/>
        <w:rPr>
          <w:lang w:val="uk-UA"/>
        </w:rPr>
      </w:pPr>
      <w:r w:rsidRPr="00B85BAB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B85B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85B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85B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85BAB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B85BAB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222"/>
        <w:gridCol w:w="1928"/>
      </w:tblGrid>
      <w:tr w:rsidR="00073C9C" w:rsidRPr="00B85BAB" w:rsidTr="00073C9C">
        <w:tc>
          <w:tcPr>
            <w:tcW w:w="595" w:type="dxa"/>
          </w:tcPr>
          <w:p w:rsidR="006D448F" w:rsidRPr="00B85BAB" w:rsidRDefault="00073C9C" w:rsidP="000556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073C9C" w:rsidRPr="00B85BAB" w:rsidRDefault="006D448F" w:rsidP="000556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  <w:r w:rsidR="00073C9C"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702" w:type="dxa"/>
          </w:tcPr>
          <w:p w:rsidR="00073C9C" w:rsidRPr="00B85BAB" w:rsidRDefault="00073C9C" w:rsidP="00FC39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073C9C" w:rsidRPr="00B85BAB" w:rsidRDefault="00073C9C" w:rsidP="00FC39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22" w:type="dxa"/>
          </w:tcPr>
          <w:p w:rsidR="00073C9C" w:rsidRPr="00B85BAB" w:rsidRDefault="00073C9C" w:rsidP="00FC39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928" w:type="dxa"/>
          </w:tcPr>
          <w:p w:rsidR="00073C9C" w:rsidRPr="00B85BAB" w:rsidRDefault="00073C9C" w:rsidP="00FC393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073C9C" w:rsidRPr="00B85BAB" w:rsidRDefault="00073C9C" w:rsidP="00073C9C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6"/>
        <w:gridCol w:w="3703"/>
        <w:gridCol w:w="2506"/>
        <w:gridCol w:w="2088"/>
        <w:gridCol w:w="1928"/>
      </w:tblGrid>
      <w:tr w:rsidR="00073C9C" w:rsidRPr="00B85BAB" w:rsidTr="0005565A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073C9C" w:rsidRPr="00B85BAB" w:rsidTr="0005565A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6D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</w:t>
            </w:r>
            <w:r w:rsidR="006D448F"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адміністративних послуг «Віза» </w:t>
            </w: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073C9C" w:rsidRPr="00B85BAB" w:rsidTr="0005565A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  <w:p w:rsidR="006D448F" w:rsidRPr="00B85BAB" w:rsidRDefault="006D448F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73C9C" w:rsidRPr="00B85BAB" w:rsidTr="0005565A">
        <w:trPr>
          <w:trHeight w:val="142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073C9C" w:rsidRPr="00B85BAB" w:rsidTr="0005565A">
        <w:trPr>
          <w:trHeight w:val="780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73C9C" w:rsidRPr="00B85BAB" w:rsidTr="0005565A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05565A" w:rsidRPr="00B85BAB" w:rsidRDefault="0005565A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73C9C" w:rsidRPr="00B85BAB" w:rsidTr="0005565A">
        <w:trPr>
          <w:trHeight w:val="645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05565A" w:rsidRPr="00B85BAB" w:rsidRDefault="0005565A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73C9C" w:rsidRPr="00B85BAB" w:rsidTr="0005565A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073C9C" w:rsidRPr="00B85BAB" w:rsidTr="0005565A">
        <w:trPr>
          <w:trHeight w:val="569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73C9C" w:rsidRPr="00B85BAB" w:rsidTr="0005565A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073C9C" w:rsidRPr="00B85BAB" w:rsidTr="0005565A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073C9C" w:rsidRPr="00B85BAB" w:rsidTr="0005565A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  <w:p w:rsidR="00073C9C" w:rsidRPr="00B85BAB" w:rsidRDefault="00073C9C" w:rsidP="00FC3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571DC" w:rsidRPr="00B85BAB" w:rsidTr="007571DC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- у разі звернення заявника до Центру</w:t>
            </w:r>
          </w:p>
          <w:p w:rsidR="007571DC" w:rsidRPr="00B85BAB" w:rsidRDefault="007571DC" w:rsidP="007571DC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571DC" w:rsidRPr="00B85BAB" w:rsidTr="007571DC">
        <w:trPr>
          <w:trHeight w:val="6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7571DC" w:rsidRPr="00B85BAB" w:rsidTr="007571DC">
        <w:trPr>
          <w:trHeight w:val="690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DC" w:rsidRPr="00B85BAB" w:rsidRDefault="004B1E17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7571DC" w:rsidRPr="00B85BAB" w:rsidTr="0005565A">
        <w:trPr>
          <w:trHeight w:val="39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документів у паперовій формі суб’єкту державної </w:t>
            </w:r>
            <w:r w:rsidRPr="00B85BA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реєстрації, уповноваженому зберігати реєстраційні справи</w:t>
            </w:r>
          </w:p>
        </w:tc>
        <w:tc>
          <w:tcPr>
            <w:tcW w:w="11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послуг виконкому Криворізької міської ради</w:t>
            </w:r>
          </w:p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трьох робочих днів з </w:t>
            </w: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проведення реєстраційної дії</w:t>
            </w:r>
          </w:p>
        </w:tc>
      </w:tr>
      <w:tr w:rsidR="007571DC" w:rsidRPr="00B85BAB" w:rsidTr="0005565A">
        <w:trPr>
          <w:trHeight w:val="567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B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71DC" w:rsidRPr="00B85BAB" w:rsidRDefault="007571DC" w:rsidP="00757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73C9C" w:rsidRPr="00B85BAB" w:rsidRDefault="00073C9C" w:rsidP="00693842">
      <w:pPr>
        <w:tabs>
          <w:tab w:val="left" w:pos="9564"/>
        </w:tabs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AA3B79" w:rsidRPr="00B85BAB" w:rsidRDefault="00AA3B79" w:rsidP="00693842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749D2" w:rsidRPr="00B85BAB" w:rsidRDefault="00D749D2" w:rsidP="00693842">
      <w:pPr>
        <w:spacing w:after="0" w:line="36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9286E" w:rsidRPr="00B85BAB" w:rsidRDefault="00AD084B" w:rsidP="00B9286E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B85BAB">
        <w:rPr>
          <w:rFonts w:ascii="Times New Roman" w:hAnsi="Times New Roman"/>
          <w:b/>
          <w:i/>
          <w:sz w:val="28"/>
          <w:szCs w:val="24"/>
          <w:lang w:val="uk-UA"/>
        </w:rPr>
        <w:t>В</w:t>
      </w:r>
      <w:r w:rsidR="00B9286E" w:rsidRPr="00B85BAB">
        <w:rPr>
          <w:rFonts w:ascii="Times New Roman" w:hAnsi="Times New Roman"/>
          <w:b/>
          <w:i/>
          <w:sz w:val="28"/>
          <w:szCs w:val="24"/>
          <w:lang w:val="uk-UA"/>
        </w:rPr>
        <w:t>.о</w:t>
      </w:r>
      <w:proofErr w:type="spellEnd"/>
      <w:r w:rsidR="00B9286E" w:rsidRPr="00B85BAB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B9286E" w:rsidRPr="00B85BAB" w:rsidRDefault="00B9286E" w:rsidP="00B9286E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B85BAB">
        <w:rPr>
          <w:rFonts w:ascii="Times New Roman" w:hAnsi="Times New Roman"/>
          <w:b/>
          <w:i/>
          <w:sz w:val="28"/>
          <w:szCs w:val="24"/>
          <w:lang w:val="uk-UA"/>
        </w:rPr>
        <w:t>заступник міського голови</w:t>
      </w:r>
      <w:r w:rsidR="00AD084B" w:rsidRPr="00B85BAB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                                        Валентина </w:t>
      </w:r>
      <w:proofErr w:type="spellStart"/>
      <w:r w:rsidR="00AD084B" w:rsidRPr="00B85BAB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p w:rsidR="00A932A1" w:rsidRPr="00B85BAB" w:rsidRDefault="00B9286E" w:rsidP="00B9286E">
      <w:pPr>
        <w:tabs>
          <w:tab w:val="left" w:pos="7088"/>
        </w:tabs>
        <w:spacing w:line="36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B85BAB">
        <w:rPr>
          <w:rFonts w:ascii="Times New Roman" w:hAnsi="Times New Roman"/>
          <w:b/>
          <w:i/>
          <w:sz w:val="28"/>
          <w:szCs w:val="24"/>
          <w:lang w:val="uk-UA"/>
        </w:rPr>
        <w:t xml:space="preserve">   </w:t>
      </w:r>
      <w:r w:rsidRPr="00B85BAB">
        <w:rPr>
          <w:rFonts w:ascii="Times New Roman" w:hAnsi="Times New Roman"/>
          <w:b/>
          <w:i/>
          <w:sz w:val="28"/>
          <w:szCs w:val="24"/>
          <w:lang w:val="uk-UA"/>
        </w:rPr>
        <w:tab/>
      </w:r>
      <w:bookmarkEnd w:id="0"/>
    </w:p>
    <w:sectPr w:rsidR="00A932A1" w:rsidRPr="00B85BAB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51" w:rsidRDefault="00EA1A51" w:rsidP="00A457CE">
      <w:pPr>
        <w:spacing w:after="0" w:line="240" w:lineRule="auto"/>
      </w:pPr>
      <w:r>
        <w:separator/>
      </w:r>
    </w:p>
  </w:endnote>
  <w:endnote w:type="continuationSeparator" w:id="0">
    <w:p w:rsidR="00EA1A51" w:rsidRDefault="00EA1A51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51" w:rsidRDefault="00EA1A51" w:rsidP="00A457CE">
      <w:pPr>
        <w:spacing w:after="0" w:line="240" w:lineRule="auto"/>
      </w:pPr>
      <w:r>
        <w:separator/>
      </w:r>
    </w:p>
  </w:footnote>
  <w:footnote w:type="continuationSeparator" w:id="0">
    <w:p w:rsidR="00EA1A51" w:rsidRDefault="00EA1A51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693842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B85BAB">
          <w:rPr>
            <w:rFonts w:ascii="Times New Roman" w:hAnsi="Times New Roman"/>
            <w:noProof/>
            <w:sz w:val="24"/>
            <w:szCs w:val="24"/>
          </w:rPr>
          <w:t>8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693842">
          <w:rPr>
            <w:rFonts w:ascii="Times New Roman" w:hAnsi="Times New Roman"/>
            <w:sz w:val="24"/>
            <w:szCs w:val="24"/>
            <w:lang w:val="uk-UA"/>
          </w:rPr>
          <w:t xml:space="preserve">       </w:t>
        </w:r>
      </w:p>
      <w:p w:rsidR="00EE269F" w:rsidRPr="004E0190" w:rsidRDefault="0069384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Продовження додатка 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65A"/>
    <w:rsid w:val="00055D06"/>
    <w:rsid w:val="00055FE1"/>
    <w:rsid w:val="00061FDD"/>
    <w:rsid w:val="0006214F"/>
    <w:rsid w:val="00063716"/>
    <w:rsid w:val="00064BB3"/>
    <w:rsid w:val="000715A2"/>
    <w:rsid w:val="00073C9C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502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04A8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3038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17A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5395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1E17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09D4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3842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448F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571DC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6DD7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070B3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6177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2F7B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84B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1648"/>
    <w:rsid w:val="00B843EF"/>
    <w:rsid w:val="00B85BAB"/>
    <w:rsid w:val="00B8667E"/>
    <w:rsid w:val="00B87ABB"/>
    <w:rsid w:val="00B90266"/>
    <w:rsid w:val="00B9211B"/>
    <w:rsid w:val="00B9286E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72C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4390"/>
    <w:rsid w:val="00D251F0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4B0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5FB8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1A51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93D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95CD-2292-4896-863E-3E309D9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8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Регистратор1</dc:creator>
  <cp:keywords/>
  <dc:description/>
  <cp:lastModifiedBy>org301</cp:lastModifiedBy>
  <cp:revision>4</cp:revision>
  <cp:lastPrinted>2020-05-08T11:41:00Z</cp:lastPrinted>
  <dcterms:created xsi:type="dcterms:W3CDTF">2020-03-27T09:28:00Z</dcterms:created>
  <dcterms:modified xsi:type="dcterms:W3CDTF">2020-05-20T14:07:00Z</dcterms:modified>
</cp:coreProperties>
</file>