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801752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22.04.2020 №4656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FF4CB3" w:rsidRDefault="008A3891" w:rsidP="008A3891">
      <w:pPr>
        <w:pStyle w:val="21"/>
        <w:tabs>
          <w:tab w:val="left" w:pos="709"/>
        </w:tabs>
        <w:jc w:val="center"/>
        <w:rPr>
          <w:b/>
        </w:rPr>
      </w:pPr>
      <w:r w:rsidRPr="004A1059">
        <w:rPr>
          <w:b/>
        </w:rPr>
        <w:t>суб’єкт</w:t>
      </w:r>
      <w:r w:rsidR="00FF4CB3">
        <w:rPr>
          <w:b/>
        </w:rPr>
        <w:t>ів</w:t>
      </w:r>
      <w:r w:rsidRPr="004A1059">
        <w:rPr>
          <w:b/>
        </w:rPr>
        <w:t xml:space="preserve"> звернення</w:t>
      </w:r>
      <w:r w:rsidRPr="009D4142">
        <w:rPr>
          <w:b/>
        </w:rPr>
        <w:t xml:space="preserve">, яким </w:t>
      </w:r>
      <w:r>
        <w:rPr>
          <w:b/>
        </w:rPr>
        <w:t xml:space="preserve"> відмовлено  </w:t>
      </w:r>
      <w:r w:rsidR="00112EDE">
        <w:rPr>
          <w:b/>
        </w:rPr>
        <w:t>в</w:t>
      </w:r>
      <w:r w:rsidRPr="004A1059">
        <w:rPr>
          <w:b/>
        </w:rPr>
        <w:t xml:space="preserve"> наданні </w:t>
      </w:r>
    </w:p>
    <w:p w:rsidR="008A3891" w:rsidRPr="004A1059" w:rsidRDefault="008A3891" w:rsidP="008A3891">
      <w:pPr>
        <w:pStyle w:val="21"/>
        <w:tabs>
          <w:tab w:val="left" w:pos="709"/>
        </w:tabs>
        <w:jc w:val="center"/>
        <w:rPr>
          <w:b/>
        </w:rPr>
      </w:pPr>
      <w:r w:rsidRPr="004A1059">
        <w:rPr>
          <w:b/>
        </w:rPr>
        <w:t>адміністративних послуг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2708"/>
        <w:gridCol w:w="2552"/>
        <w:gridCol w:w="4536"/>
      </w:tblGrid>
      <w:tr w:rsidR="00D44D70" w:rsidRPr="00CF2F2D" w:rsidTr="00F543D8">
        <w:trPr>
          <w:cantSplit/>
          <w:trHeight w:val="285"/>
        </w:trPr>
        <w:tc>
          <w:tcPr>
            <w:tcW w:w="0" w:type="auto"/>
          </w:tcPr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8" w:type="dxa"/>
          </w:tcPr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>Суб’єкт</w:t>
            </w:r>
          </w:p>
          <w:p w:rsidR="008A3891" w:rsidRPr="00FF4CB3" w:rsidRDefault="008A3891" w:rsidP="00FF4CB3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F4CB3">
              <w:rPr>
                <w:color w:val="000000"/>
                <w:sz w:val="24"/>
                <w:szCs w:val="24"/>
              </w:rPr>
              <w:t xml:space="preserve"> звернення</w:t>
            </w:r>
          </w:p>
        </w:tc>
        <w:tc>
          <w:tcPr>
            <w:tcW w:w="2552" w:type="dxa"/>
          </w:tcPr>
          <w:p w:rsidR="008A3891" w:rsidRPr="00CF2F2D" w:rsidRDefault="008A3891" w:rsidP="00112EDE">
            <w:pPr>
              <w:pStyle w:val="1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4536" w:type="dxa"/>
          </w:tcPr>
          <w:p w:rsidR="008A3891" w:rsidRPr="00CF2F2D" w:rsidRDefault="008A3891" w:rsidP="008A3891">
            <w:pPr>
              <w:pStyle w:val="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Підстави відмови</w:t>
            </w:r>
          </w:p>
        </w:tc>
      </w:tr>
      <w:tr w:rsidR="00D64A03" w:rsidRPr="00CF2F2D" w:rsidTr="00F543D8">
        <w:trPr>
          <w:cantSplit/>
          <w:trHeight w:val="285"/>
        </w:trPr>
        <w:tc>
          <w:tcPr>
            <w:tcW w:w="0" w:type="auto"/>
          </w:tcPr>
          <w:p w:rsidR="00D64A03" w:rsidRPr="00D64A03" w:rsidRDefault="00D64A03" w:rsidP="00FF4CB3">
            <w:pPr>
              <w:pStyle w:val="1"/>
              <w:ind w:left="-108" w:right="-108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64A03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D64A03" w:rsidRPr="00D64A03" w:rsidRDefault="00D64A03" w:rsidP="00FF4CB3">
            <w:pPr>
              <w:pStyle w:val="1"/>
              <w:ind w:left="-108" w:right="-108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64A03"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64A03" w:rsidRPr="00D64A03" w:rsidRDefault="00D64A03" w:rsidP="00112EDE">
            <w:pPr>
              <w:pStyle w:val="1"/>
              <w:ind w:left="-108" w:right="-108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64A03">
              <w:rPr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64A03" w:rsidRPr="00D64A03" w:rsidRDefault="00D64A03" w:rsidP="008A3891">
            <w:pPr>
              <w:pStyle w:val="8"/>
              <w:rPr>
                <w:color w:val="000000"/>
                <w:sz w:val="24"/>
                <w:szCs w:val="24"/>
              </w:rPr>
            </w:pPr>
            <w:r w:rsidRPr="00D64A03">
              <w:rPr>
                <w:color w:val="000000"/>
                <w:sz w:val="24"/>
                <w:szCs w:val="24"/>
              </w:rPr>
              <w:t>4</w:t>
            </w:r>
          </w:p>
        </w:tc>
      </w:tr>
      <w:tr w:rsidR="00D44D70" w:rsidRPr="005F2B05" w:rsidTr="00F543D8">
        <w:trPr>
          <w:cantSplit/>
          <w:trHeight w:val="2013"/>
        </w:trPr>
        <w:tc>
          <w:tcPr>
            <w:tcW w:w="0" w:type="auto"/>
          </w:tcPr>
          <w:p w:rsidR="008A3891" w:rsidRPr="00D44D70" w:rsidRDefault="008A3891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4D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08" w:type="dxa"/>
          </w:tcPr>
          <w:p w:rsidR="008A3891" w:rsidRPr="002C6D1F" w:rsidRDefault="00917E5B" w:rsidP="002C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особа-підприємець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</w:t>
            </w:r>
            <w:r w:rsidR="00B207E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             Сергійович</w:t>
            </w:r>
          </w:p>
        </w:tc>
        <w:tc>
          <w:tcPr>
            <w:tcW w:w="2552" w:type="dxa"/>
          </w:tcPr>
          <w:p w:rsidR="00D178F1" w:rsidRDefault="00D178F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F543D8" w:rsidRDefault="008A3891" w:rsidP="00F543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8A3891" w:rsidRPr="00293D94" w:rsidRDefault="00293D94" w:rsidP="00293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поновлення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діючого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договору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="008A3891" w:rsidRPr="0029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</w:tcPr>
          <w:p w:rsidR="005E6CBD" w:rsidRPr="00D44D70" w:rsidRDefault="001735CE" w:rsidP="00CE7F8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 w:rsidR="0051567B"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з'ясовано, що 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>надан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повний пакет документів, визначений інформаційною карткою адміністрати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>ної послуги №5, затверджен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рішенням </w:t>
            </w:r>
            <w:r w:rsidR="00CE7F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виконкому </w:t>
            </w:r>
            <w:r w:rsidR="00293D94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від 12.06.2019 №307</w:t>
            </w:r>
            <w:r w:rsidR="00066A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66A7E" w:rsidRPr="005F2B05" w:rsidTr="00F543D8">
        <w:trPr>
          <w:cantSplit/>
          <w:trHeight w:val="2110"/>
        </w:trPr>
        <w:tc>
          <w:tcPr>
            <w:tcW w:w="0" w:type="auto"/>
          </w:tcPr>
          <w:p w:rsidR="00066A7E" w:rsidRPr="00D44D70" w:rsidRDefault="00066A7E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4D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08" w:type="dxa"/>
          </w:tcPr>
          <w:p w:rsidR="00066A7E" w:rsidRDefault="00066A7E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особа-підприємець         </w:t>
            </w:r>
          </w:p>
          <w:p w:rsidR="00066A7E" w:rsidRPr="008A3891" w:rsidRDefault="00066A7E" w:rsidP="008A38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Тетяна                                Іванівна                 </w:t>
            </w:r>
          </w:p>
        </w:tc>
        <w:tc>
          <w:tcPr>
            <w:tcW w:w="2552" w:type="dxa"/>
          </w:tcPr>
          <w:p w:rsidR="00D178F1" w:rsidRDefault="00D178F1" w:rsidP="00D17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066A7E" w:rsidRPr="00293D94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поновлення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діючого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договору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29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</w:tcPr>
          <w:p w:rsidR="00066A7E" w:rsidRPr="00D44D70" w:rsidRDefault="00066A7E" w:rsidP="00CE7F8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з'ясовано,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повний пакет документів, визначений інформаційною карткою адміністрати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послуги №5, затверджен</w:t>
            </w:r>
            <w:r w:rsidR="00A86D08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рішенням </w:t>
            </w:r>
            <w:r w:rsidR="00CE7F8B">
              <w:rPr>
                <w:rFonts w:ascii="Times New Roman" w:hAnsi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від 12.06.2019 №307.</w:t>
            </w:r>
          </w:p>
        </w:tc>
      </w:tr>
      <w:tr w:rsidR="00066A7E" w:rsidRPr="00A86D08" w:rsidTr="00066A7E">
        <w:trPr>
          <w:cantSplit/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E" w:rsidRPr="00D44D70" w:rsidRDefault="00066A7E" w:rsidP="00B164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066A7E" w:rsidRPr="008A3891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Панченко                               Микола                          Вікторович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F1" w:rsidRDefault="00D178F1" w:rsidP="00D17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066A7E" w:rsidRDefault="00066A7E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066A7E" w:rsidRPr="00066A7E" w:rsidRDefault="00116ECA" w:rsidP="001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громадянам у власність земельних ділянок для будівни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тва та  обслуговува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ня житлового буди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ку, господарських  будівель і споруд (присадибна ділянка), ведення садівництва, будівництва  індив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116E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дуального гаража</w:t>
            </w:r>
            <w:r w:rsidR="00066A7E" w:rsidRPr="00116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E" w:rsidRPr="00D44D70" w:rsidRDefault="00066A7E" w:rsidP="00A86D08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з'ясовано, що 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відсутній док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мент, який підтверджує здійснення спл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ти відновної вартості зелених насаджень, розташованих на земельній ділянці, або що вони виконані заявником особисто (пункт 11 Постанови Кабінету Міністрів України від 01 серпня 2006 року №1045 «Про затвердження Порядку видалення дерев, кущів, газонів і квітників у нас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лених пунктах», зі змінами). Зазначений документ є в переліку обов’язкових д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кументів для отримання послуги (інфо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маційна картка адміністративної послуги №4, затверджена рішенням </w:t>
            </w:r>
            <w:r w:rsidR="00CE7F8B">
              <w:rPr>
                <w:rFonts w:ascii="Times New Roman" w:hAnsi="Times New Roman"/>
                <w:sz w:val="24"/>
                <w:szCs w:val="24"/>
                <w:lang w:val="uk-UA"/>
              </w:rPr>
              <w:t>виконкому</w:t>
            </w:r>
            <w:r w:rsidR="00116E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від 12.06.2019 №307)</w:t>
            </w:r>
          </w:p>
        </w:tc>
      </w:tr>
      <w:tr w:rsidR="00D64A03" w:rsidRPr="005F2B05" w:rsidTr="00066A7E">
        <w:trPr>
          <w:cantSplit/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B164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B164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D64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64A03" w:rsidRDefault="00D64A03" w:rsidP="00D64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D64A03" w:rsidRDefault="00D64A03" w:rsidP="00D64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D64A03" w:rsidRDefault="00D64A03" w:rsidP="00D64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D64A03" w:rsidRDefault="00D64A03" w:rsidP="00D64A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поновлення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діючого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договору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29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Pr="00D44D70" w:rsidRDefault="00D64A03" w:rsidP="005F2B05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виявлено недостовірні відом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сті та невідповідність наданого пакета документів вимогам чинного законода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ства (інформаційна картка адміністрат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2D73CC">
              <w:rPr>
                <w:rFonts w:ascii="Times New Roman" w:hAnsi="Times New Roman"/>
                <w:sz w:val="24"/>
                <w:szCs w:val="24"/>
                <w:lang w:val="uk-UA"/>
              </w:rPr>
              <w:t>вної послуги №5, затверджена рішенням виконкому міської ради від 12.06.2019 №307)</w:t>
            </w:r>
          </w:p>
        </w:tc>
      </w:tr>
      <w:tr w:rsidR="00D64A03" w:rsidRPr="00A86D08" w:rsidTr="00D64A03">
        <w:trPr>
          <w:cantSplit/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D64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D64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Default="00D64A03" w:rsidP="00D64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3" w:rsidRPr="00D44D70" w:rsidRDefault="00D64A03" w:rsidP="00D64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D73CC" w:rsidRPr="005F2B05" w:rsidTr="00066A7E">
        <w:trPr>
          <w:cantSplit/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C" w:rsidRDefault="002D73CC" w:rsidP="00B164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2D73CC" w:rsidRDefault="002D73CC" w:rsidP="0048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поновлення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діючого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договору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29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C" w:rsidRPr="00D44D70" w:rsidRDefault="002D73CC" w:rsidP="005F2B05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виявлено недостовірні відом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сті та невідповідність наданого пакета документів вимогам чинного законода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 (інформаційна картка адміністрат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вної послуги №5, затверджена рішенням виконкому міської ради від 12.06.2019 №307)</w:t>
            </w:r>
          </w:p>
        </w:tc>
      </w:tr>
      <w:tr w:rsidR="00D066EC" w:rsidRPr="005F2B05" w:rsidTr="00D066EC">
        <w:trPr>
          <w:cantSplit/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C" w:rsidRDefault="002A4982" w:rsidP="002538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«НЬЮПОРТ ХОЛДІНГ»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</w:t>
            </w:r>
          </w:p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38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Видача рішення </w:t>
            </w:r>
          </w:p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E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D066EC" w:rsidRDefault="00D066EC" w:rsidP="002538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6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поновлення діючого договору оренди               земельної ділянки              комунальної власності»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C" w:rsidRPr="00D44D70" w:rsidRDefault="00D066EC" w:rsidP="005F2B05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опрацюванні наданих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</w:t>
            </w:r>
            <w:r w:rsidRPr="00D44D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виявлено недостовірні відом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сті та невідповідність наданого пакета документів вимогам чинного законода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 (інформаційна картка адміністрат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вної послуги №5, затверджена рішенням виконкому міської ради від 12.06.2019 №307)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83" w:rsidRDefault="00D67583" w:rsidP="00965113">
      <w:pPr>
        <w:spacing w:after="0" w:line="240" w:lineRule="auto"/>
      </w:pPr>
      <w:r>
        <w:separator/>
      </w:r>
    </w:p>
  </w:endnote>
  <w:endnote w:type="continuationSeparator" w:id="0">
    <w:p w:rsidR="00D67583" w:rsidRDefault="00D6758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83" w:rsidRDefault="00D67583" w:rsidP="00965113">
      <w:pPr>
        <w:spacing w:after="0" w:line="240" w:lineRule="auto"/>
      </w:pPr>
      <w:r>
        <w:separator/>
      </w:r>
    </w:p>
  </w:footnote>
  <w:footnote w:type="continuationSeparator" w:id="0">
    <w:p w:rsidR="00D67583" w:rsidRDefault="00D6758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EDE" w:rsidRPr="00965113" w:rsidRDefault="00112E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7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2EDE" w:rsidRPr="00C045C1" w:rsidRDefault="00112ED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66A7E"/>
    <w:rsid w:val="00070E3C"/>
    <w:rsid w:val="00075DB1"/>
    <w:rsid w:val="00084707"/>
    <w:rsid w:val="00095FD5"/>
    <w:rsid w:val="000A47E3"/>
    <w:rsid w:val="000A621B"/>
    <w:rsid w:val="000B0DD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2EDE"/>
    <w:rsid w:val="001145F3"/>
    <w:rsid w:val="00116B9B"/>
    <w:rsid w:val="00116ECA"/>
    <w:rsid w:val="00126506"/>
    <w:rsid w:val="0013070E"/>
    <w:rsid w:val="0014327A"/>
    <w:rsid w:val="00146ACB"/>
    <w:rsid w:val="001525E5"/>
    <w:rsid w:val="00155EB2"/>
    <w:rsid w:val="00160F4B"/>
    <w:rsid w:val="00167718"/>
    <w:rsid w:val="001735CE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3E1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3D94"/>
    <w:rsid w:val="0029789D"/>
    <w:rsid w:val="002A4982"/>
    <w:rsid w:val="002A5AF0"/>
    <w:rsid w:val="002B67FD"/>
    <w:rsid w:val="002C07BC"/>
    <w:rsid w:val="002C138F"/>
    <w:rsid w:val="002C2EAB"/>
    <w:rsid w:val="002C6D1F"/>
    <w:rsid w:val="002D0556"/>
    <w:rsid w:val="002D1310"/>
    <w:rsid w:val="002D2307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1567B"/>
    <w:rsid w:val="005247A0"/>
    <w:rsid w:val="00533962"/>
    <w:rsid w:val="0053551B"/>
    <w:rsid w:val="00537284"/>
    <w:rsid w:val="00543BA9"/>
    <w:rsid w:val="00551E04"/>
    <w:rsid w:val="005530D0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01752"/>
    <w:rsid w:val="0082760B"/>
    <w:rsid w:val="008300BB"/>
    <w:rsid w:val="008414D6"/>
    <w:rsid w:val="008444FC"/>
    <w:rsid w:val="00857656"/>
    <w:rsid w:val="00864CE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3891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D5341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6596C"/>
    <w:rsid w:val="00A84A2E"/>
    <w:rsid w:val="00A86D08"/>
    <w:rsid w:val="00A90B18"/>
    <w:rsid w:val="00A942C0"/>
    <w:rsid w:val="00A94D88"/>
    <w:rsid w:val="00A97D15"/>
    <w:rsid w:val="00AD265B"/>
    <w:rsid w:val="00AD26FB"/>
    <w:rsid w:val="00AD5E45"/>
    <w:rsid w:val="00AE63F9"/>
    <w:rsid w:val="00AE7B2C"/>
    <w:rsid w:val="00AF1E48"/>
    <w:rsid w:val="00AF3E90"/>
    <w:rsid w:val="00AF4BA9"/>
    <w:rsid w:val="00B03886"/>
    <w:rsid w:val="00B16188"/>
    <w:rsid w:val="00B20651"/>
    <w:rsid w:val="00B2070D"/>
    <w:rsid w:val="00B207E5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1FFF"/>
    <w:rsid w:val="00B97A09"/>
    <w:rsid w:val="00BB68F2"/>
    <w:rsid w:val="00BC34C2"/>
    <w:rsid w:val="00BC740D"/>
    <w:rsid w:val="00BD175D"/>
    <w:rsid w:val="00BD66BD"/>
    <w:rsid w:val="00BE1645"/>
    <w:rsid w:val="00BE455C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70E85"/>
    <w:rsid w:val="00C82E66"/>
    <w:rsid w:val="00C87F32"/>
    <w:rsid w:val="00C91079"/>
    <w:rsid w:val="00C95D11"/>
    <w:rsid w:val="00CB6B90"/>
    <w:rsid w:val="00CB743E"/>
    <w:rsid w:val="00CB74E3"/>
    <w:rsid w:val="00CD3EA7"/>
    <w:rsid w:val="00CE6682"/>
    <w:rsid w:val="00CE7F8B"/>
    <w:rsid w:val="00CF5E4B"/>
    <w:rsid w:val="00D05909"/>
    <w:rsid w:val="00D066EC"/>
    <w:rsid w:val="00D11012"/>
    <w:rsid w:val="00D17677"/>
    <w:rsid w:val="00D178F1"/>
    <w:rsid w:val="00D22CEE"/>
    <w:rsid w:val="00D444B4"/>
    <w:rsid w:val="00D44D70"/>
    <w:rsid w:val="00D53481"/>
    <w:rsid w:val="00D54903"/>
    <w:rsid w:val="00D56BB4"/>
    <w:rsid w:val="00D628E6"/>
    <w:rsid w:val="00D64A03"/>
    <w:rsid w:val="00D66687"/>
    <w:rsid w:val="00D66D8A"/>
    <w:rsid w:val="00D67583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43D8"/>
    <w:rsid w:val="00F55F04"/>
    <w:rsid w:val="00F71338"/>
    <w:rsid w:val="00F731B6"/>
    <w:rsid w:val="00F766BF"/>
    <w:rsid w:val="00F7751E"/>
    <w:rsid w:val="00F814AD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4B27-6ED2-4B33-923C-58E725DA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280</cp:revision>
  <cp:lastPrinted>2020-04-14T09:49:00Z</cp:lastPrinted>
  <dcterms:created xsi:type="dcterms:W3CDTF">2015-05-29T08:58:00Z</dcterms:created>
  <dcterms:modified xsi:type="dcterms:W3CDTF">2020-04-23T09:59:00Z</dcterms:modified>
</cp:coreProperties>
</file>