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2F" w:rsidRPr="00C320A0" w:rsidRDefault="00EA4D2F" w:rsidP="00EA4D2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2</w:t>
      </w:r>
    </w:p>
    <w:p w:rsidR="00EA4D2F" w:rsidRPr="00C320A0" w:rsidRDefault="00EA4D2F" w:rsidP="00EA4D2F">
      <w:pPr>
        <w:spacing w:after="0" w:line="240" w:lineRule="auto"/>
        <w:ind w:left="5387"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Аналізу регуляторного впливу </w:t>
      </w:r>
      <w:r w:rsidRPr="00C320A0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до проекту</w:t>
      </w:r>
      <w:r w:rsidRPr="00C320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рішення Криворізької міської ради «Про затвердження Правил </w:t>
      </w:r>
      <w:proofErr w:type="spellStart"/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прий-мання</w:t>
      </w:r>
      <w:proofErr w:type="spellEnd"/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стічних вод до систем </w:t>
      </w:r>
      <w:proofErr w:type="spellStart"/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центра-лізованого</w:t>
      </w:r>
      <w:proofErr w:type="spellEnd"/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водовідведення м. Кривого Рогу»</w:t>
      </w:r>
    </w:p>
    <w:p w:rsidR="00EA4D2F" w:rsidRPr="00C320A0" w:rsidRDefault="00EA4D2F" w:rsidP="00EA4D2F">
      <w:pPr>
        <w:spacing w:after="0" w:line="240" w:lineRule="auto"/>
        <w:ind w:left="5387"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A523F" w:rsidRPr="00C320A0" w:rsidRDefault="00AA523F" w:rsidP="00AA523F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</w:pPr>
      <w:r w:rsidRPr="00C320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ТЕСТ </w:t>
      </w:r>
    </w:p>
    <w:p w:rsidR="00AA523F" w:rsidRPr="00C320A0" w:rsidRDefault="00AA523F" w:rsidP="00AA523F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320A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малого підприємництва (М-Тест)</w:t>
      </w:r>
    </w:p>
    <w:p w:rsidR="00AA523F" w:rsidRPr="00C320A0" w:rsidRDefault="00AA523F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132"/>
      <w:bookmarkEnd w:id="0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Консультації з представниками </w:t>
      </w:r>
      <w:proofErr w:type="spellStart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мікро-</w:t>
      </w:r>
      <w:proofErr w:type="spellEnd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малого підприємництва щодо оцінки впливу регулювання.</w:t>
      </w:r>
    </w:p>
    <w:p w:rsidR="00EA4D2F" w:rsidRPr="00C320A0" w:rsidRDefault="00AA523F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133"/>
      <w:bookmarkEnd w:id="1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01.10.2018 </w:t>
      </w:r>
      <w:r w:rsidR="00EA4D2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15.11.2018</w:t>
      </w:r>
    </w:p>
    <w:tbl>
      <w:tblPr>
        <w:tblW w:w="4902" w:type="pct"/>
        <w:jc w:val="center"/>
        <w:tblInd w:w="-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779"/>
        <w:gridCol w:w="1886"/>
        <w:gridCol w:w="4069"/>
      </w:tblGrid>
      <w:tr w:rsidR="00AA523F" w:rsidRPr="00C320A0" w:rsidTr="00967043">
        <w:trPr>
          <w:cantSplit/>
          <w:trHeight w:val="1134"/>
          <w:jc w:val="center"/>
        </w:trPr>
        <w:tc>
          <w:tcPr>
            <w:tcW w:w="383" w:type="pct"/>
            <w:hideMark/>
          </w:tcPr>
          <w:p w:rsidR="00AA523F" w:rsidRPr="00C320A0" w:rsidRDefault="00AA523F" w:rsidP="00AA523F">
            <w:pPr>
              <w:spacing w:after="0" w:line="240" w:lineRule="auto"/>
              <w:ind w:left="11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bookmarkStart w:id="2" w:name="n134"/>
            <w:bookmarkEnd w:id="2"/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1469" w:type="pct"/>
            <w:hideMark/>
          </w:tcPr>
          <w:p w:rsidR="00AA523F" w:rsidRPr="00C320A0" w:rsidRDefault="00EA4D2F" w:rsidP="00C32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Вид консультації (пуб</w:t>
            </w:r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лічні 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консуль</w:t>
            </w: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-тації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прямі («</w:t>
            </w:r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круглі столи</w:t>
            </w: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»</w:t>
            </w:r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, наради, робочі зустрічі тощо), 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інтернет-консультації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прямі (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інтернет-форуми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, </w:t>
            </w: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 соціальних</w:t>
            </w:r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мереж</w:t>
            </w: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ах</w:t>
            </w:r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тощо), запити (до підприємців, 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експер</w:t>
            </w:r>
            <w:bookmarkStart w:id="3" w:name="_GoBack"/>
            <w:bookmarkEnd w:id="3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-тів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 науковців тощо)</w:t>
            </w:r>
          </w:p>
        </w:tc>
        <w:tc>
          <w:tcPr>
            <w:tcW w:w="997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2151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Основні результати консультацій (опис)</w:t>
            </w:r>
          </w:p>
        </w:tc>
      </w:tr>
      <w:tr w:rsidR="00AA523F" w:rsidRPr="00C320A0" w:rsidTr="00967043">
        <w:trPr>
          <w:cantSplit/>
          <w:trHeight w:val="297"/>
          <w:jc w:val="center"/>
        </w:trPr>
        <w:tc>
          <w:tcPr>
            <w:tcW w:w="383" w:type="pct"/>
          </w:tcPr>
          <w:p w:rsidR="00AA523F" w:rsidRPr="00C320A0" w:rsidRDefault="00AA523F" w:rsidP="00AA523F">
            <w:pPr>
              <w:spacing w:after="0" w:line="240" w:lineRule="auto"/>
              <w:ind w:left="116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69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1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C827E0" w:rsidRPr="00C320A0" w:rsidTr="00967043">
        <w:trPr>
          <w:trHeight w:val="1174"/>
          <w:jc w:val="center"/>
        </w:trPr>
        <w:tc>
          <w:tcPr>
            <w:tcW w:w="383" w:type="pct"/>
            <w:vMerge w:val="restart"/>
          </w:tcPr>
          <w:p w:rsidR="00C827E0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69" w:type="pct"/>
          </w:tcPr>
          <w:p w:rsidR="00C827E0" w:rsidRPr="00C320A0" w:rsidRDefault="00C827E0" w:rsidP="00AA52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Робочі зустрічі </w:t>
            </w:r>
          </w:p>
        </w:tc>
        <w:tc>
          <w:tcPr>
            <w:tcW w:w="997" w:type="pct"/>
            <w:vMerge w:val="restart"/>
          </w:tcPr>
          <w:p w:rsidR="00C827E0" w:rsidRPr="00C320A0" w:rsidRDefault="00C827E0" w:rsidP="00EA4D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151" w:type="pct"/>
            <w:vMerge w:val="restart"/>
          </w:tcPr>
          <w:p w:rsidR="00C827E0" w:rsidRPr="00C320A0" w:rsidRDefault="00C827E0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цілому умови регулювання, включаючи витрати в часовому та грошовому вимірі,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сприй-маються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Отримано інформацію, що для виконання умов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регу-лювання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необхідно передбачити пом’якшуючі заходи для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мікро-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малого підприємництва:</w:t>
            </w:r>
          </w:p>
          <w:p w:rsidR="00C827E0" w:rsidRPr="00C320A0" w:rsidRDefault="00C827E0" w:rsidP="00C54B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Періодичність звітування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</w:t>
            </w:r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живачів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 виробником про якість і кількість стічних вод, що скидаються до систем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</w:t>
            </w:r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лі-зованого</w:t>
            </w:r>
            <w:proofErr w:type="spellEnd"/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водовідведення 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</w:t>
            </w:r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вого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Рогу урегульовувати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умо</w:t>
            </w:r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B6126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вами</w:t>
            </w:r>
            <w:proofErr w:type="spellEnd"/>
            <w:r w:rsidR="000B6126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оговору, в залежності від виду діяльності суб’єктів господарювання</w:t>
            </w:r>
          </w:p>
        </w:tc>
      </w:tr>
      <w:tr w:rsidR="00C827E0" w:rsidRPr="00C320A0" w:rsidTr="003E452F">
        <w:trPr>
          <w:trHeight w:val="4320"/>
          <w:jc w:val="center"/>
        </w:trPr>
        <w:tc>
          <w:tcPr>
            <w:tcW w:w="383" w:type="pct"/>
            <w:vMerge/>
          </w:tcPr>
          <w:p w:rsidR="00C827E0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C827E0" w:rsidRPr="00C320A0" w:rsidRDefault="00C827E0" w:rsidP="00AA52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Анкетування</w:t>
            </w:r>
          </w:p>
        </w:tc>
        <w:tc>
          <w:tcPr>
            <w:tcW w:w="997" w:type="pct"/>
            <w:vMerge/>
            <w:tcBorders>
              <w:bottom w:val="single" w:sz="4" w:space="0" w:color="auto"/>
            </w:tcBorders>
          </w:tcPr>
          <w:p w:rsidR="00C827E0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51" w:type="pct"/>
            <w:vMerge/>
            <w:tcBorders>
              <w:bottom w:val="single" w:sz="4" w:space="0" w:color="auto"/>
            </w:tcBorders>
          </w:tcPr>
          <w:p w:rsidR="00C827E0" w:rsidRPr="00C320A0" w:rsidRDefault="00C827E0" w:rsidP="00AA52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27E0" w:rsidRPr="00C320A0" w:rsidTr="00C827E0">
        <w:trPr>
          <w:trHeight w:val="286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827E0" w:rsidRPr="00C320A0" w:rsidRDefault="00C827E0" w:rsidP="000B612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</w:t>
            </w:r>
            <w:r w:rsidR="000B6126"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</w:t>
            </w: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2</w:t>
            </w:r>
          </w:p>
        </w:tc>
      </w:tr>
      <w:tr w:rsidR="0032398C" w:rsidRPr="00C320A0" w:rsidTr="0032398C">
        <w:trPr>
          <w:trHeight w:val="286"/>
          <w:jc w:val="center"/>
        </w:trPr>
        <w:tc>
          <w:tcPr>
            <w:tcW w:w="383" w:type="pct"/>
          </w:tcPr>
          <w:p w:rsidR="0032398C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69" w:type="pct"/>
          </w:tcPr>
          <w:p w:rsidR="0032398C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pct"/>
          </w:tcPr>
          <w:p w:rsidR="0032398C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1" w:type="pct"/>
            <w:tcBorders>
              <w:top w:val="single" w:sz="4" w:space="0" w:color="auto"/>
            </w:tcBorders>
          </w:tcPr>
          <w:p w:rsidR="0032398C" w:rsidRPr="00C320A0" w:rsidRDefault="00C827E0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AA523F" w:rsidRPr="00C320A0" w:rsidTr="00967043">
        <w:trPr>
          <w:trHeight w:val="4162"/>
          <w:jc w:val="center"/>
        </w:trPr>
        <w:tc>
          <w:tcPr>
            <w:tcW w:w="383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9" w:type="pct"/>
          </w:tcPr>
          <w:p w:rsidR="00AA523F" w:rsidRPr="00C320A0" w:rsidRDefault="00AA523F" w:rsidP="00AA52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51" w:type="pct"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Систематичність контролю (аналізу) споживачів за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кіль-кістю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якістю стічних вод, 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скидаються ними до систем централізованого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водовідведен-ня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Кривого Рогу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урегульо-вувати</w:t>
            </w:r>
            <w:proofErr w:type="spellEnd"/>
            <w:r w:rsidR="000B6126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умовами д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оговору, в залежності від виду діяльності суб’єктів господарювання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A523F" w:rsidRPr="00C320A0" w:rsidRDefault="00AA523F" w:rsidP="00BC58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Пр</w:t>
            </w:r>
            <w:r w:rsidR="000B6126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можливість зменшення умовами д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оговору кількості представників споживача,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упов-новажених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представляти 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відбору проб стічних вод, до одного, за вмотивованою заявою споживача, з дода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ванням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неї  доказів про відсутність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мож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ливост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End"/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забезпе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чити двох представників</w:t>
            </w:r>
          </w:p>
        </w:tc>
      </w:tr>
    </w:tbl>
    <w:p w:rsidR="000B6126" w:rsidRPr="00C320A0" w:rsidRDefault="00AA523F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35"/>
      <w:bookmarkEnd w:id="4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Вимірювання впливу регулювання на суб’єктів малого підприємництва (</w:t>
      </w:r>
      <w:proofErr w:type="spellStart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мікро-</w:t>
      </w:r>
      <w:proofErr w:type="spellEnd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малі):</w:t>
      </w:r>
      <w:bookmarkStart w:id="5" w:name="n136"/>
      <w:bookmarkEnd w:id="5"/>
    </w:p>
    <w:p w:rsidR="00AA523F" w:rsidRPr="00C320A0" w:rsidRDefault="000B6126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суб’єктів малого підприємництва, на яких поширюється регулювання: 4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659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малого підприєм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ництва 932 та </w:t>
      </w:r>
      <w:proofErr w:type="spellStart"/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мікропідприємництва</w:t>
      </w:r>
      <w:proofErr w:type="spellEnd"/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727;</w:t>
      </w:r>
    </w:p>
    <w:p w:rsidR="00AA523F" w:rsidRPr="00C320A0" w:rsidRDefault="000B6126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37"/>
      <w:bookmarkEnd w:id="6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питома вага суб’єктів малого підприємництва 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загальній кількості суб’єктів господарювання, на яких проблема справляє вплив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96</w:t>
      </w:r>
      <w:r w:rsidR="00440793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(відповідно до та</w:t>
      </w:r>
      <w:r w:rsidR="00BC58B8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блиці п.3.2.3 регуляторного акта</w:t>
      </w:r>
      <w:r w:rsidR="00AA523F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«Оцінка впливу на сферу інтересів суб’єктів господарювання»).</w:t>
      </w:r>
    </w:p>
    <w:p w:rsidR="00AA523F" w:rsidRPr="00C320A0" w:rsidRDefault="00AA523F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138"/>
      <w:bookmarkEnd w:id="7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Розрахунок витрат суб’єктів малого підприємництва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39"/>
        <w:gridCol w:w="2999"/>
        <w:gridCol w:w="1683"/>
        <w:gridCol w:w="2267"/>
        <w:gridCol w:w="1563"/>
      </w:tblGrid>
      <w:tr w:rsidR="00AA523F" w:rsidRPr="00C320A0" w:rsidTr="006714A1">
        <w:trPr>
          <w:trHeight w:val="20"/>
        </w:trPr>
        <w:tc>
          <w:tcPr>
            <w:tcW w:w="517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bookmarkStart w:id="8" w:name="n139"/>
            <w:bookmarkEnd w:id="8"/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626" w:type="pct"/>
            <w:gridSpan w:val="2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Найменування оцінки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BC58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У перший рік (стартовий рік </w:t>
            </w:r>
            <w:proofErr w:type="spellStart"/>
            <w:r w:rsidR="00BC58B8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</w:t>
            </w: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прова</w:t>
            </w:r>
            <w:r w:rsidR="00BC58B8"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-</w:t>
            </w: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дження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регулювання)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Періодичні (за наступний рік)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Витрати за п’ять років</w:t>
            </w:r>
          </w:p>
        </w:tc>
      </w:tr>
      <w:tr w:rsidR="00AA523F" w:rsidRPr="00C320A0" w:rsidTr="006714A1">
        <w:trPr>
          <w:trHeight w:val="20"/>
        </w:trPr>
        <w:tc>
          <w:tcPr>
            <w:tcW w:w="51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26" w:type="pct"/>
            <w:gridSpan w:val="2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AA523F" w:rsidRPr="00C320A0" w:rsidTr="006714A1">
        <w:trPr>
          <w:trHeight w:val="20"/>
        </w:trPr>
        <w:tc>
          <w:tcPr>
            <w:tcW w:w="5000" w:type="pct"/>
            <w:gridSpan w:val="6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AA523F" w:rsidRPr="00C320A0" w:rsidTr="00BC58B8">
        <w:trPr>
          <w:trHeight w:val="1650"/>
        </w:trPr>
        <w:tc>
          <w:tcPr>
            <w:tcW w:w="517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26" w:type="pct"/>
            <w:gridSpan w:val="2"/>
            <w:tcBorders>
              <w:bottom w:val="single" w:sz="4" w:space="0" w:color="auto"/>
            </w:tcBorders>
            <w:hideMark/>
          </w:tcPr>
          <w:p w:rsidR="00AA523F" w:rsidRPr="00C320A0" w:rsidRDefault="00AA523F" w:rsidP="00BC5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на придбання локальних очисних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спо-руд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пристрої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попереднього очищення стічних вод перед їх 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BC58B8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000,00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AA523F" w:rsidRPr="00C320A0" w:rsidRDefault="00AA523F" w:rsidP="00BC58B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Суб’єкт повинен виконувати </w:t>
            </w:r>
            <w:proofErr w:type="spellStart"/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зазна-чену</w:t>
            </w:r>
            <w:proofErr w:type="spellEnd"/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вимогу </w:t>
            </w:r>
            <w:proofErr w:type="spellStart"/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регу-лювання</w:t>
            </w:r>
            <w:proofErr w:type="spellEnd"/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лише один раз, тобто в 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BC58B8" w:rsidRPr="00C320A0" w:rsidTr="00BC58B8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BC58B8" w:rsidRPr="00C320A0" w:rsidRDefault="00BC58B8" w:rsidP="000B612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</w:t>
            </w:r>
            <w:r w:rsidR="000B6126"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 </w:t>
            </w: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</w:tr>
      <w:tr w:rsidR="00AA523F" w:rsidRPr="00C320A0" w:rsidTr="006714A1">
        <w:trPr>
          <w:trHeight w:val="20"/>
        </w:trPr>
        <w:tc>
          <w:tcPr>
            <w:tcW w:w="51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26" w:type="pct"/>
            <w:gridSpan w:val="2"/>
          </w:tcPr>
          <w:p w:rsidR="00AA523F" w:rsidRPr="00C320A0" w:rsidRDefault="00AA523F" w:rsidP="00AA5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AA523F" w:rsidRPr="00C320A0" w:rsidTr="006714A1">
        <w:trPr>
          <w:trHeight w:val="20"/>
        </w:trPr>
        <w:tc>
          <w:tcPr>
            <w:tcW w:w="51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6" w:type="pct"/>
            <w:gridSpan w:val="2"/>
          </w:tcPr>
          <w:p w:rsidR="00AA523F" w:rsidRPr="00C320A0" w:rsidRDefault="00BC58B8" w:rsidP="00C5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скиданням до систем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цен-</w:t>
            </w:r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тралізованого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водовідве-дення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5" w:type="pct"/>
          </w:tcPr>
          <w:p w:rsidR="00AA523F" w:rsidRPr="00C320A0" w:rsidRDefault="00BC58B8" w:rsidP="00AA523F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перший рік</w:t>
            </w:r>
            <w:r w:rsidR="00C54B4C"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впро-</w:t>
            </w:r>
            <w:r w:rsidR="00AA523F"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вадження</w:t>
            </w:r>
            <w:proofErr w:type="spellEnd"/>
            <w:r w:rsidR="00AA523F"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A523F"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регулю-вання</w:t>
            </w:r>
            <w:proofErr w:type="spellEnd"/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523F" w:rsidRPr="00C320A0" w:rsidTr="006714A1">
        <w:trPr>
          <w:trHeight w:val="695"/>
        </w:trPr>
        <w:tc>
          <w:tcPr>
            <w:tcW w:w="5000" w:type="pct"/>
            <w:gridSpan w:val="6"/>
          </w:tcPr>
          <w:p w:rsidR="00AA523F" w:rsidRPr="00C320A0" w:rsidRDefault="00C54B4C" w:rsidP="00C5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*В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итрати є орієнтовними 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й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отримані шляхом опитування та анкетування споживачів послуги централізованого водовідведення. 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важаючи на диференційовану специфіку їх роботи та прогнозоване усереднене значення вартості таких споруд, витрати складатимуть від 2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000,00 гривень на кожного суб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’єкта малого підприємництва</w:t>
            </w:r>
          </w:p>
        </w:tc>
      </w:tr>
      <w:tr w:rsidR="00AA523F" w:rsidRPr="00C320A0" w:rsidTr="00C54B4C">
        <w:trPr>
          <w:trHeight w:val="13"/>
        </w:trPr>
        <w:tc>
          <w:tcPr>
            <w:tcW w:w="517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26" w:type="pct"/>
            <w:gridSpan w:val="2"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Процедури  повірки   та</w:t>
            </w:r>
          </w:p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/або постановки на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від-повідний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облік у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визна-ченому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органі державної влади чи місцевого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са-моврядування</w:t>
            </w:r>
            <w:proofErr w:type="spellEnd"/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ind w:firstLine="4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AA523F" w:rsidRPr="00C320A0" w:rsidTr="00C54B4C">
        <w:trPr>
          <w:trHeight w:val="13"/>
        </w:trPr>
        <w:tc>
          <w:tcPr>
            <w:tcW w:w="517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26" w:type="pct"/>
            <w:gridSpan w:val="2"/>
            <w:vAlign w:val="center"/>
            <w:hideMark/>
          </w:tcPr>
          <w:p w:rsidR="00AA523F" w:rsidRPr="00C320A0" w:rsidRDefault="00AA523F" w:rsidP="00C5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Процедури експлуатації обладнання (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експлуата-ційні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матеріали –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вит-ратні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матеріали), </w:t>
            </w:r>
            <w:r w:rsidR="00C54B4C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AA523F" w:rsidRPr="00C320A0" w:rsidTr="00C54B4C">
        <w:trPr>
          <w:trHeight w:val="13"/>
        </w:trPr>
        <w:tc>
          <w:tcPr>
            <w:tcW w:w="517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26" w:type="pct"/>
            <w:gridSpan w:val="2"/>
            <w:hideMark/>
          </w:tcPr>
          <w:p w:rsidR="00AA523F" w:rsidRPr="00C320A0" w:rsidRDefault="00AA523F" w:rsidP="004407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Процедури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обслугову-вання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обладнання (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тех-нічне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обслуговування)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4079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AA523F" w:rsidRPr="00C320A0" w:rsidTr="00C54B4C">
        <w:trPr>
          <w:trHeight w:val="13"/>
        </w:trPr>
        <w:tc>
          <w:tcPr>
            <w:tcW w:w="517" w:type="pct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626" w:type="pct"/>
            <w:gridSpan w:val="2"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процедури :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AA523F" w:rsidRPr="00C320A0" w:rsidTr="00C54B4C">
        <w:trPr>
          <w:trHeight w:val="13"/>
        </w:trPr>
        <w:tc>
          <w:tcPr>
            <w:tcW w:w="51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26" w:type="pct"/>
            <w:gridSpan w:val="2"/>
          </w:tcPr>
          <w:p w:rsidR="00AA523F" w:rsidRPr="00C320A0" w:rsidRDefault="00AA523F" w:rsidP="004407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Разом, </w:t>
            </w:r>
            <w:r w:rsidR="0044079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грн. </w:t>
            </w:r>
          </w:p>
        </w:tc>
        <w:tc>
          <w:tcPr>
            <w:tcW w:w="872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4079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  <w:r w:rsidR="0044079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175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810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AA523F" w:rsidRPr="00C320A0" w:rsidTr="00440793">
        <w:trPr>
          <w:trHeight w:val="1402"/>
        </w:trPr>
        <w:tc>
          <w:tcPr>
            <w:tcW w:w="517" w:type="pct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26" w:type="pct"/>
            <w:gridSpan w:val="2"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суб’єктів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гос-подарювання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що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пови-нні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виконати вимоги регулювання, одиниць</w:t>
            </w:r>
          </w:p>
        </w:tc>
        <w:tc>
          <w:tcPr>
            <w:tcW w:w="872" w:type="pct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2516*</w:t>
            </w:r>
          </w:p>
        </w:tc>
        <w:tc>
          <w:tcPr>
            <w:tcW w:w="1175" w:type="pct"/>
            <w:vAlign w:val="center"/>
          </w:tcPr>
          <w:p w:rsidR="00AA523F" w:rsidRPr="00C320A0" w:rsidRDefault="00AA523F" w:rsidP="00AA52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10" w:type="pct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2516*</w:t>
            </w:r>
          </w:p>
        </w:tc>
      </w:tr>
      <w:tr w:rsidR="00AA523F" w:rsidRPr="00C320A0" w:rsidTr="00440793">
        <w:trPr>
          <w:trHeight w:val="324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A523F" w:rsidRPr="00C320A0" w:rsidRDefault="00440793" w:rsidP="004407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*К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ількісний показник є орієнтовним, оскільки розраховувався на підставі статистичних даних комунальн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ого підприємства «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Кривбасводока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нал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» та дан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их, отриманих шляхом опитування й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анкетування споживачів послуги централізованого водовідведення. 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і 100 % опитаних – 46 % суб’єктів 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гос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подарювання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зазначили, що не здійснюють виробничі процеси, при здійсненні яких споживач повинен мати лок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альні очисні споруди або пристро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 для попереднього очищення стічних вод перед їх скиданням до системи централізованого водовідведення та очищення стічних вод. Таким чином, 2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143 (46%) суб’єкт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и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господарювання малого підприємництва від загальної </w:t>
            </w:r>
            <w:proofErr w:type="spellStart"/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кіль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</w:t>
            </w:r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кості</w:t>
            </w:r>
            <w:proofErr w:type="spellEnd"/>
            <w:r w:rsidR="00AA523F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 не підпадають під д</w:t>
            </w:r>
            <w:r w:rsidR="006B1371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ію зазначеної норми регулювання</w:t>
            </w:r>
          </w:p>
        </w:tc>
      </w:tr>
      <w:tr w:rsidR="00440793" w:rsidRPr="00C320A0" w:rsidTr="00440793">
        <w:trPr>
          <w:trHeight w:val="1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440793" w:rsidRPr="00C320A0" w:rsidRDefault="006B1371" w:rsidP="000B612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</w:t>
            </w:r>
            <w:r w:rsidR="000B6126"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 </w:t>
            </w: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</w:tr>
      <w:tr w:rsidR="00440793" w:rsidRPr="00C320A0" w:rsidTr="006714A1">
        <w:trPr>
          <w:trHeight w:val="13"/>
        </w:trPr>
        <w:tc>
          <w:tcPr>
            <w:tcW w:w="589" w:type="pct"/>
            <w:gridSpan w:val="2"/>
          </w:tcPr>
          <w:p w:rsidR="00440793" w:rsidRPr="00C320A0" w:rsidRDefault="006B1371" w:rsidP="006B13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4" w:type="pct"/>
          </w:tcPr>
          <w:p w:rsidR="00440793" w:rsidRPr="00C320A0" w:rsidRDefault="006B1371" w:rsidP="006B13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2" w:type="pct"/>
          </w:tcPr>
          <w:p w:rsidR="00440793" w:rsidRPr="00C320A0" w:rsidRDefault="006B1371" w:rsidP="006B13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5" w:type="pct"/>
          </w:tcPr>
          <w:p w:rsidR="00440793" w:rsidRPr="00C320A0" w:rsidRDefault="006B1371" w:rsidP="006B13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10" w:type="pct"/>
          </w:tcPr>
          <w:p w:rsidR="00440793" w:rsidRPr="00C320A0" w:rsidRDefault="006B1371" w:rsidP="006B13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AA523F" w:rsidRPr="00C320A0" w:rsidTr="006714A1">
        <w:trPr>
          <w:trHeight w:val="13"/>
        </w:trPr>
        <w:tc>
          <w:tcPr>
            <w:tcW w:w="589" w:type="pct"/>
            <w:gridSpan w:val="2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54" w:type="pct"/>
            <w:hideMark/>
          </w:tcPr>
          <w:p w:rsidR="00AA523F" w:rsidRPr="00C320A0" w:rsidRDefault="00AA523F" w:rsidP="004407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Сумарно, </w:t>
            </w:r>
            <w:r w:rsidR="0044079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872" w:type="pct"/>
            <w:hideMark/>
          </w:tcPr>
          <w:p w:rsidR="00AA523F" w:rsidRPr="00C320A0" w:rsidRDefault="009F4C71" w:rsidP="009F4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032</w:t>
            </w:r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000,00</w:t>
            </w:r>
          </w:p>
        </w:tc>
        <w:tc>
          <w:tcPr>
            <w:tcW w:w="1175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810" w:type="pc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Додаткових витрат не </w:t>
            </w:r>
            <w:r w:rsidR="006B1371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передбачено</w:t>
            </w:r>
          </w:p>
        </w:tc>
      </w:tr>
      <w:tr w:rsidR="00AA523F" w:rsidRPr="00C320A0" w:rsidTr="006714A1">
        <w:trPr>
          <w:trHeight w:val="13"/>
        </w:trPr>
        <w:tc>
          <w:tcPr>
            <w:tcW w:w="5000" w:type="pct"/>
            <w:gridSpan w:val="6"/>
            <w:hideMark/>
          </w:tcPr>
          <w:p w:rsidR="00AA523F" w:rsidRPr="00C320A0" w:rsidRDefault="00AA523F" w:rsidP="00AA523F">
            <w:pPr>
              <w:spacing w:after="0" w:line="240" w:lineRule="auto"/>
              <w:ind w:firstLine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вартості адміністративних процедур суб’єктів малого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підприєм-ництва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виконання регулювання та звітування</w:t>
            </w:r>
          </w:p>
        </w:tc>
      </w:tr>
      <w:tr w:rsidR="00AA523F" w:rsidRPr="00C320A0" w:rsidTr="006B1371">
        <w:trPr>
          <w:trHeight w:val="13"/>
        </w:trPr>
        <w:tc>
          <w:tcPr>
            <w:tcW w:w="589" w:type="pct"/>
            <w:gridSpan w:val="2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на одного суб’єкта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господарюван-ня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малого та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мікро-підприємництва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пов’я-зані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ознайомленням з регуляторним актом, грн.;</w:t>
            </w:r>
          </w:p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0,35 год. (21 хв.) х                   3 723,00 грн. (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мінімаль-на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заробітна плата) : 160 год. на місяць = 8,14 грн.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8,14 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ind w:firstLine="4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Додаткових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вит-рат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передба-чено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(у разі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відсут-ності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змін у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нор-мативних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актах України)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Додаткових витрат не передбачено(у разі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від-сутності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змін у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нор-мативних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актах України)</w:t>
            </w:r>
          </w:p>
        </w:tc>
      </w:tr>
      <w:tr w:rsidR="00AA523F" w:rsidRPr="00C320A0" w:rsidTr="006B1371">
        <w:trPr>
          <w:trHeight w:val="2254"/>
        </w:trPr>
        <w:tc>
          <w:tcPr>
            <w:tcW w:w="589" w:type="pct"/>
            <w:gridSpan w:val="2"/>
            <w:vMerge w:val="restart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54" w:type="pct"/>
            <w:tcBorders>
              <w:top w:val="single" w:sz="4" w:space="0" w:color="auto"/>
              <w:bottom w:val="nil"/>
            </w:tcBorders>
            <w:vAlign w:val="center"/>
          </w:tcPr>
          <w:p w:rsidR="00AA523F" w:rsidRPr="00C320A0" w:rsidRDefault="00AA523F" w:rsidP="00AA5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Процедури організації виконання вимог </w:t>
            </w:r>
            <w:proofErr w:type="spellStart"/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регу-лювання</w:t>
            </w:r>
            <w:proofErr w:type="spellEnd"/>
          </w:p>
          <w:p w:rsidR="00AA523F" w:rsidRPr="00C320A0" w:rsidRDefault="00AA523F" w:rsidP="006B1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Для виконання </w:t>
            </w:r>
            <w:proofErr w:type="spellStart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зазна-чених</w:t>
            </w:r>
            <w:proofErr w:type="spellEnd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умов регулювання суб’єкту </w:t>
            </w:r>
            <w:proofErr w:type="spellStart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господарюва-ння</w:t>
            </w:r>
            <w:proofErr w:type="spellEnd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знадобиться не більше 10 аркушів </w:t>
            </w:r>
            <w:proofErr w:type="spellStart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офіс</w:t>
            </w:r>
            <w:r w:rsidR="006B1371"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-</w:t>
            </w:r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ного</w:t>
            </w:r>
            <w:proofErr w:type="spellEnd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паперу форматом А4), грн.</w:t>
            </w:r>
          </w:p>
        </w:tc>
        <w:tc>
          <w:tcPr>
            <w:tcW w:w="872" w:type="pct"/>
            <w:tcBorders>
              <w:bottom w:val="nil"/>
            </w:tcBorders>
          </w:tcPr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2,06</w:t>
            </w:r>
            <w:r w:rsidR="006B1371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</w:tc>
        <w:tc>
          <w:tcPr>
            <w:tcW w:w="1175" w:type="pct"/>
            <w:tcBorders>
              <w:bottom w:val="nil"/>
            </w:tcBorders>
          </w:tcPr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Додаткових </w:t>
            </w:r>
          </w:p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 не </w:t>
            </w:r>
          </w:p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передбачено</w:t>
            </w:r>
            <w:r w:rsidR="006B1371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</w:tc>
        <w:tc>
          <w:tcPr>
            <w:tcW w:w="810" w:type="pct"/>
            <w:tcBorders>
              <w:bottom w:val="nil"/>
            </w:tcBorders>
          </w:tcPr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85B" w:rsidRPr="00C320A0" w:rsidRDefault="00BA185B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10,3</w:t>
            </w:r>
            <w:r w:rsidR="006B1371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</w:tc>
      </w:tr>
      <w:tr w:rsidR="00AA523F" w:rsidRPr="00C320A0" w:rsidTr="006B1371">
        <w:trPr>
          <w:trHeight w:val="13"/>
        </w:trPr>
        <w:tc>
          <w:tcPr>
            <w:tcW w:w="589" w:type="pct"/>
            <w:gridSpan w:val="2"/>
            <w:vMerge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4" w:type="pct"/>
            <w:tcBorders>
              <w:top w:val="nil"/>
            </w:tcBorders>
            <w:vAlign w:val="center"/>
          </w:tcPr>
          <w:p w:rsidR="00AA523F" w:rsidRPr="00C320A0" w:rsidRDefault="00AA523F" w:rsidP="006B13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Для виконання </w:t>
            </w:r>
            <w:proofErr w:type="spellStart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зазна-чених</w:t>
            </w:r>
            <w:proofErr w:type="spellEnd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умов регулювання суб’єкту </w:t>
            </w:r>
            <w:proofErr w:type="spellStart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господарюва-ння</w:t>
            </w:r>
            <w:proofErr w:type="spellEnd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знадобиться не </w:t>
            </w:r>
            <w:proofErr w:type="spellStart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біль-ше</w:t>
            </w:r>
            <w:proofErr w:type="spellEnd"/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годин</w:t>
            </w:r>
            <w:r w:rsidR="006B1371"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и</w:t>
            </w:r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робо</w:t>
            </w:r>
            <w:r w:rsidR="006B1371"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чого часу </w:t>
            </w:r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(1 год. х</w:t>
            </w:r>
            <w:r w:rsidR="006B1371"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C320A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3 723,00 грн. (мінімальна заробітна плата) : 160 год. на місяць = 23,27 грн.)</w:t>
            </w:r>
          </w:p>
        </w:tc>
        <w:tc>
          <w:tcPr>
            <w:tcW w:w="872" w:type="pct"/>
            <w:tcBorders>
              <w:top w:val="nil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23,27</w:t>
            </w:r>
          </w:p>
        </w:tc>
        <w:tc>
          <w:tcPr>
            <w:tcW w:w="1175" w:type="pct"/>
            <w:tcBorders>
              <w:top w:val="nil"/>
            </w:tcBorders>
          </w:tcPr>
          <w:p w:rsidR="00AA523F" w:rsidRPr="00C320A0" w:rsidRDefault="006B1371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одаткових витрат не передбачено</w:t>
            </w:r>
          </w:p>
        </w:tc>
        <w:tc>
          <w:tcPr>
            <w:tcW w:w="810" w:type="pct"/>
            <w:tcBorders>
              <w:top w:val="nil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116,34</w:t>
            </w:r>
          </w:p>
        </w:tc>
      </w:tr>
      <w:tr w:rsidR="00AA523F" w:rsidRPr="00C320A0" w:rsidTr="006714A1">
        <w:trPr>
          <w:trHeight w:val="13"/>
        </w:trPr>
        <w:tc>
          <w:tcPr>
            <w:tcW w:w="589" w:type="pct"/>
            <w:gridSpan w:val="2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54" w:type="pct"/>
          </w:tcPr>
          <w:p w:rsidR="00AA523F" w:rsidRPr="00C320A0" w:rsidRDefault="00AA523F" w:rsidP="00F41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Процедури офіційного звітування</w:t>
            </w:r>
          </w:p>
        </w:tc>
        <w:tc>
          <w:tcPr>
            <w:tcW w:w="2857" w:type="pct"/>
            <w:gridSpan w:val="3"/>
          </w:tcPr>
          <w:p w:rsidR="00AA523F" w:rsidRPr="00C320A0" w:rsidRDefault="00AA523F" w:rsidP="000B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Спрогнозувати неможливо, оскільки урегульовуватиметься ін</w:t>
            </w:r>
            <w:r w:rsidR="006B1371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дивідуальними </w:t>
            </w:r>
            <w:proofErr w:type="spellStart"/>
            <w:r w:rsidR="006B1371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умо-вами</w:t>
            </w:r>
            <w:proofErr w:type="spellEnd"/>
            <w:r w:rsidR="006B1371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0B6126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</w:t>
            </w:r>
            <w:r w:rsidR="006B1371"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оговору</w:t>
            </w:r>
            <w:r w:rsidRPr="00C320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в залежності від виду діяльності суб’єктів господарювання</w:t>
            </w:r>
          </w:p>
        </w:tc>
      </w:tr>
      <w:tr w:rsidR="00AA523F" w:rsidRPr="00C320A0" w:rsidTr="00F41AA3">
        <w:trPr>
          <w:trHeight w:val="99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:rsidR="00AA523F" w:rsidRPr="00C320A0" w:rsidRDefault="00AA523F" w:rsidP="00AA52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Процедури щодо забезпечення процесу перевірок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6B1371" w:rsidRPr="00C320A0" w:rsidTr="006B1371">
        <w:trPr>
          <w:trHeight w:val="1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371" w:rsidRPr="00C320A0" w:rsidRDefault="006B1371" w:rsidP="000B612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</w:t>
            </w:r>
            <w:r w:rsidR="000B6126"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 </w:t>
            </w: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</w:tr>
      <w:tr w:rsidR="006B1371" w:rsidRPr="00C320A0" w:rsidTr="006B1371">
        <w:trPr>
          <w:trHeight w:val="286"/>
        </w:trPr>
        <w:tc>
          <w:tcPr>
            <w:tcW w:w="589" w:type="pct"/>
            <w:gridSpan w:val="2"/>
            <w:tcBorders>
              <w:top w:val="single" w:sz="4" w:space="0" w:color="auto"/>
            </w:tcBorders>
          </w:tcPr>
          <w:p w:rsidR="006B1371" w:rsidRPr="00C320A0" w:rsidRDefault="006B1371" w:rsidP="003C6D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6B1371" w:rsidRPr="00C320A0" w:rsidRDefault="006B1371" w:rsidP="003C6D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6B1371" w:rsidRPr="00C320A0" w:rsidRDefault="006B1371" w:rsidP="003C6D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5" w:type="pct"/>
            <w:tcBorders>
              <w:top w:val="single" w:sz="4" w:space="0" w:color="auto"/>
            </w:tcBorders>
          </w:tcPr>
          <w:p w:rsidR="006B1371" w:rsidRPr="00C320A0" w:rsidRDefault="006B1371" w:rsidP="003C6D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6B1371" w:rsidRPr="00C320A0" w:rsidRDefault="006B1371" w:rsidP="003C6D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6B1371" w:rsidRPr="00C320A0" w:rsidTr="006714A1">
        <w:trPr>
          <w:trHeight w:val="365"/>
        </w:trPr>
        <w:tc>
          <w:tcPr>
            <w:tcW w:w="589" w:type="pct"/>
            <w:gridSpan w:val="2"/>
          </w:tcPr>
          <w:p w:rsidR="006B1371" w:rsidRPr="00C320A0" w:rsidRDefault="00F41AA3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54" w:type="pct"/>
          </w:tcPr>
          <w:p w:rsidR="006B1371" w:rsidRPr="00C320A0" w:rsidRDefault="00F41AA3" w:rsidP="00AA52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процедури (уточнити)</w:t>
            </w:r>
          </w:p>
        </w:tc>
        <w:tc>
          <w:tcPr>
            <w:tcW w:w="872" w:type="pct"/>
          </w:tcPr>
          <w:p w:rsidR="006B1371" w:rsidRPr="00C320A0" w:rsidRDefault="00F41AA3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1175" w:type="pct"/>
          </w:tcPr>
          <w:p w:rsidR="006B1371" w:rsidRPr="00C320A0" w:rsidRDefault="00F41AA3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  <w:tc>
          <w:tcPr>
            <w:tcW w:w="810" w:type="pct"/>
          </w:tcPr>
          <w:p w:rsidR="006B1371" w:rsidRPr="00C320A0" w:rsidRDefault="00F41AA3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Додаткових витрат не передбачено</w:t>
            </w:r>
          </w:p>
        </w:tc>
      </w:tr>
      <w:tr w:rsidR="006B1371" w:rsidRPr="00C320A0" w:rsidTr="006714A1">
        <w:trPr>
          <w:trHeight w:val="365"/>
        </w:trPr>
        <w:tc>
          <w:tcPr>
            <w:tcW w:w="589" w:type="pct"/>
            <w:gridSpan w:val="2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54" w:type="pct"/>
            <w:hideMark/>
          </w:tcPr>
          <w:p w:rsidR="006B1371" w:rsidRPr="00C320A0" w:rsidRDefault="006B1371" w:rsidP="00F4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Разом, </w:t>
            </w:r>
            <w:r w:rsidR="00F41AA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872" w:type="pct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33,47</w:t>
            </w:r>
          </w:p>
        </w:tc>
        <w:tc>
          <w:tcPr>
            <w:tcW w:w="1175" w:type="pct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810" w:type="pct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126,64</w:t>
            </w:r>
          </w:p>
        </w:tc>
      </w:tr>
      <w:tr w:rsidR="006B1371" w:rsidRPr="00C320A0" w:rsidTr="006714A1">
        <w:trPr>
          <w:trHeight w:val="13"/>
        </w:trPr>
        <w:tc>
          <w:tcPr>
            <w:tcW w:w="589" w:type="pct"/>
            <w:gridSpan w:val="2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54" w:type="pct"/>
            <w:hideMark/>
          </w:tcPr>
          <w:p w:rsidR="006B1371" w:rsidRPr="00C320A0" w:rsidRDefault="006B1371" w:rsidP="00F41A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суб’єктів </w:t>
            </w:r>
            <w:proofErr w:type="spellStart"/>
            <w:r w:rsidR="00F41AA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ма-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лого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підприємниц</w:t>
            </w:r>
            <w:r w:rsidR="00F41AA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тва, що повинні виконати вимоги регулю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вання, одиниць</w:t>
            </w:r>
          </w:p>
        </w:tc>
        <w:tc>
          <w:tcPr>
            <w:tcW w:w="2857" w:type="pct"/>
            <w:gridSpan w:val="3"/>
            <w:vAlign w:val="center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41AA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659</w:t>
            </w:r>
          </w:p>
        </w:tc>
      </w:tr>
      <w:tr w:rsidR="006B1371" w:rsidRPr="00C320A0" w:rsidTr="00F41AA3">
        <w:trPr>
          <w:trHeight w:val="408"/>
        </w:trPr>
        <w:tc>
          <w:tcPr>
            <w:tcW w:w="589" w:type="pct"/>
            <w:gridSpan w:val="2"/>
            <w:vAlign w:val="center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54" w:type="pct"/>
            <w:vAlign w:val="center"/>
            <w:hideMark/>
          </w:tcPr>
          <w:p w:rsidR="006B1371" w:rsidRPr="00C320A0" w:rsidRDefault="006B1371" w:rsidP="00F41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Сумарно, </w:t>
            </w:r>
            <w:r w:rsidR="00F41AA3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грн. </w:t>
            </w:r>
          </w:p>
        </w:tc>
        <w:tc>
          <w:tcPr>
            <w:tcW w:w="872" w:type="pct"/>
            <w:vAlign w:val="center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155 936,73</w:t>
            </w:r>
          </w:p>
        </w:tc>
        <w:tc>
          <w:tcPr>
            <w:tcW w:w="1175" w:type="pct"/>
            <w:vAlign w:val="center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810" w:type="pct"/>
            <w:vAlign w:val="center"/>
            <w:hideMark/>
          </w:tcPr>
          <w:p w:rsidR="006B1371" w:rsidRPr="00C320A0" w:rsidRDefault="006B1371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590 015,76</w:t>
            </w:r>
          </w:p>
        </w:tc>
      </w:tr>
    </w:tbl>
    <w:p w:rsidR="00AA523F" w:rsidRPr="00C320A0" w:rsidRDefault="00AA523F" w:rsidP="00AA523F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9" w:name="n140"/>
      <w:bookmarkEnd w:id="9"/>
    </w:p>
    <w:p w:rsidR="00AA523F" w:rsidRPr="00C320A0" w:rsidRDefault="00AA523F" w:rsidP="00AA523F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20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Витрати на адміністрування регулювання суб’єктів малого підприємництва</w:t>
      </w:r>
    </w:p>
    <w:p w:rsidR="00AA523F" w:rsidRPr="00C320A0" w:rsidRDefault="00AA523F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141"/>
      <w:bookmarkEnd w:id="10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залучен</w:t>
      </w:r>
      <w:r w:rsidR="00F41AA3"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процесу регулювання.</w:t>
      </w:r>
    </w:p>
    <w:p w:rsidR="00AA523F" w:rsidRPr="00C320A0" w:rsidRDefault="00AA523F" w:rsidP="00AA523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Регуляторний акт не передбачає утворення нового державного органу (або нового структурного підрозділу діючого органу).</w:t>
      </w:r>
    </w:p>
    <w:p w:rsidR="00AA523F" w:rsidRPr="00C320A0" w:rsidRDefault="00AA523F" w:rsidP="00AA523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144"/>
      <w:bookmarkEnd w:id="11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677"/>
        <w:gridCol w:w="2336"/>
        <w:gridCol w:w="2212"/>
      </w:tblGrid>
      <w:tr w:rsidR="00AA523F" w:rsidRPr="00C320A0" w:rsidTr="006714A1">
        <w:tc>
          <w:tcPr>
            <w:tcW w:w="1139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677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Показник</w:t>
            </w:r>
          </w:p>
        </w:tc>
        <w:tc>
          <w:tcPr>
            <w:tcW w:w="2336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Перший рік регулювання (стартовий), грн.</w:t>
            </w:r>
          </w:p>
        </w:tc>
        <w:tc>
          <w:tcPr>
            <w:tcW w:w="2212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 п’ять років,</w:t>
            </w:r>
          </w:p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грн.</w:t>
            </w:r>
          </w:p>
        </w:tc>
      </w:tr>
      <w:tr w:rsidR="00AA523F" w:rsidRPr="00C320A0" w:rsidTr="006714A1">
        <w:tc>
          <w:tcPr>
            <w:tcW w:w="1139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77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«прямих» витрат суб’єктів малого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підприєм-ництва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виконання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регу-лювання</w:t>
            </w:r>
            <w:proofErr w:type="spellEnd"/>
          </w:p>
        </w:tc>
        <w:tc>
          <w:tcPr>
            <w:tcW w:w="2336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5 032 000,00</w:t>
            </w:r>
          </w:p>
        </w:tc>
        <w:tc>
          <w:tcPr>
            <w:tcW w:w="2212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5 032 000,00</w:t>
            </w:r>
          </w:p>
        </w:tc>
      </w:tr>
      <w:tr w:rsidR="00AA523F" w:rsidRPr="00C320A0" w:rsidTr="006714A1">
        <w:trPr>
          <w:trHeight w:val="1639"/>
        </w:trPr>
        <w:tc>
          <w:tcPr>
            <w:tcW w:w="1139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77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вартості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адміністра-тивних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процедур для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суб’єк-тів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малого підприємництва щодо виконання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регулюван-ня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звітування</w:t>
            </w:r>
          </w:p>
        </w:tc>
        <w:tc>
          <w:tcPr>
            <w:tcW w:w="2336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155 936,73</w:t>
            </w:r>
          </w:p>
        </w:tc>
        <w:tc>
          <w:tcPr>
            <w:tcW w:w="2212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155 936,73</w:t>
            </w:r>
          </w:p>
        </w:tc>
      </w:tr>
      <w:tr w:rsidR="00AA523F" w:rsidRPr="00C320A0" w:rsidTr="006714A1">
        <w:tc>
          <w:tcPr>
            <w:tcW w:w="1139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77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Сумарні витрати малого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під-приємництва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виконання запланованого регулювання</w:t>
            </w:r>
          </w:p>
        </w:tc>
        <w:tc>
          <w:tcPr>
            <w:tcW w:w="2336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5 187 936,70</w:t>
            </w:r>
          </w:p>
        </w:tc>
        <w:tc>
          <w:tcPr>
            <w:tcW w:w="2212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5 187 936,70</w:t>
            </w:r>
          </w:p>
        </w:tc>
      </w:tr>
      <w:tr w:rsidR="00AA523F" w:rsidRPr="00C320A0" w:rsidTr="006714A1">
        <w:tc>
          <w:tcPr>
            <w:tcW w:w="1139" w:type="dxa"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77" w:type="dxa"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Бюджетні витрати на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адмі-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ністрування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регулювання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су-б’єктів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малого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підприєм-ництва</w:t>
            </w:r>
            <w:proofErr w:type="spellEnd"/>
          </w:p>
        </w:tc>
        <w:tc>
          <w:tcPr>
            <w:tcW w:w="4548" w:type="dxa"/>
            <w:gridSpan w:val="2"/>
            <w:vAlign w:val="center"/>
          </w:tcPr>
          <w:p w:rsidR="00AA523F" w:rsidRPr="00C320A0" w:rsidRDefault="00F41AA3" w:rsidP="00F4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Регуляторний акт не передбачає с</w:t>
            </w:r>
            <w:r w:rsidR="00AA523F"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творення нового державного органу (або нового структурного підрозділу діючого органу)</w:t>
            </w:r>
          </w:p>
        </w:tc>
      </w:tr>
      <w:tr w:rsidR="00AA523F" w:rsidRPr="00C320A0" w:rsidTr="006714A1">
        <w:tc>
          <w:tcPr>
            <w:tcW w:w="1139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77" w:type="dxa"/>
            <w:hideMark/>
          </w:tcPr>
          <w:p w:rsidR="00AA523F" w:rsidRPr="00C320A0" w:rsidRDefault="00AA523F" w:rsidP="00AA52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Сумарні витрати на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виконан-ня</w:t>
            </w:r>
            <w:proofErr w:type="spellEnd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запланованого </w:t>
            </w:r>
            <w:proofErr w:type="spellStart"/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регулюван-ня</w:t>
            </w:r>
            <w:proofErr w:type="spellEnd"/>
          </w:p>
        </w:tc>
        <w:tc>
          <w:tcPr>
            <w:tcW w:w="2336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5 187 936,70</w:t>
            </w:r>
          </w:p>
        </w:tc>
        <w:tc>
          <w:tcPr>
            <w:tcW w:w="2212" w:type="dxa"/>
            <w:vAlign w:val="center"/>
          </w:tcPr>
          <w:p w:rsidR="00AA523F" w:rsidRPr="00C320A0" w:rsidRDefault="00AA523F" w:rsidP="00A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20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5 187 936,70</w:t>
            </w:r>
          </w:p>
        </w:tc>
      </w:tr>
    </w:tbl>
    <w:p w:rsidR="00F41AA3" w:rsidRPr="00C320A0" w:rsidRDefault="00F41AA3" w:rsidP="00F41AA3">
      <w:pPr>
        <w:shd w:val="clear" w:color="auto" w:fill="FFFFFF"/>
        <w:spacing w:after="0" w:line="240" w:lineRule="auto"/>
        <w:ind w:firstLine="450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12" w:name="n149"/>
      <w:bookmarkStart w:id="13" w:name="n150"/>
      <w:bookmarkEnd w:id="12"/>
      <w:bookmarkEnd w:id="13"/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Продовження додатк</w:t>
      </w:r>
      <w:r w:rsidR="000B6126"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 </w:t>
      </w:r>
      <w:r w:rsidRPr="00C320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41AA3" w:rsidRPr="00C320A0" w:rsidRDefault="00F41AA3" w:rsidP="00F41AA3">
      <w:pPr>
        <w:shd w:val="clear" w:color="auto" w:fill="FFFFFF"/>
        <w:spacing w:after="0" w:line="240" w:lineRule="auto"/>
        <w:ind w:firstLine="450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A523F" w:rsidRPr="00C320A0" w:rsidRDefault="00AA523F" w:rsidP="00AA523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Розроблення </w:t>
      </w:r>
      <w:proofErr w:type="spellStart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коригуючих</w:t>
      </w:r>
      <w:proofErr w:type="spellEnd"/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(пом’якшувальних) заходів для малого підприємництва щодо запропонованого регулювання.</w:t>
      </w:r>
    </w:p>
    <w:p w:rsidR="00AA523F" w:rsidRPr="00C320A0" w:rsidRDefault="00AA523F" w:rsidP="00AA523F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Оскільки затвердження регуляторного акта спрямоване на виконання вимог статті 13-1 </w:t>
      </w:r>
      <w:r w:rsidRPr="00C320A0">
        <w:rPr>
          <w:rFonts w:ascii="Times New Roman" w:eastAsia="Batang" w:hAnsi="Times New Roman" w:cs="Times New Roman"/>
          <w:sz w:val="28"/>
          <w:szCs w:val="28"/>
          <w:lang w:val="uk-UA"/>
        </w:rPr>
        <w:t>Закону України «Про питну воду, питне водопостачання та водовідведення» та пункту 4 розділу І Правил №316, виключається можливість розроблення п</w:t>
      </w: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ом’якшувальних компенсаторних заходів</w:t>
      </w:r>
      <w:r w:rsidRPr="00C320A0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Pr="00C3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46D27" w:rsidRPr="00C320A0" w:rsidRDefault="00F46D27">
      <w:pPr>
        <w:rPr>
          <w:lang w:val="uk-UA"/>
        </w:rPr>
      </w:pPr>
    </w:p>
    <w:sectPr w:rsidR="00F46D27" w:rsidRPr="00C320A0" w:rsidSect="0096704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EB" w:rsidRDefault="00D909EB">
      <w:pPr>
        <w:spacing w:after="0" w:line="240" w:lineRule="auto"/>
      </w:pPr>
      <w:r>
        <w:separator/>
      </w:r>
    </w:p>
  </w:endnote>
  <w:endnote w:type="continuationSeparator" w:id="0">
    <w:p w:rsidR="00D909EB" w:rsidRDefault="00D9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EB" w:rsidRDefault="00D909EB">
      <w:pPr>
        <w:spacing w:after="0" w:line="240" w:lineRule="auto"/>
      </w:pPr>
      <w:r>
        <w:separator/>
      </w:r>
    </w:p>
  </w:footnote>
  <w:footnote w:type="continuationSeparator" w:id="0">
    <w:p w:rsidR="00D909EB" w:rsidRDefault="00D9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9D" w:rsidRDefault="00AA52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20A0" w:rsidRPr="00C320A0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76"/>
    <w:rsid w:val="000B6126"/>
    <w:rsid w:val="00221EE9"/>
    <w:rsid w:val="00260E9D"/>
    <w:rsid w:val="0032398C"/>
    <w:rsid w:val="003F7B3F"/>
    <w:rsid w:val="00440793"/>
    <w:rsid w:val="00447AF0"/>
    <w:rsid w:val="00504149"/>
    <w:rsid w:val="006B1371"/>
    <w:rsid w:val="0070484A"/>
    <w:rsid w:val="007E3E64"/>
    <w:rsid w:val="00874DAF"/>
    <w:rsid w:val="0087601F"/>
    <w:rsid w:val="00967043"/>
    <w:rsid w:val="009A1076"/>
    <w:rsid w:val="009F4C71"/>
    <w:rsid w:val="00A00E5F"/>
    <w:rsid w:val="00AA523F"/>
    <w:rsid w:val="00AC2BA2"/>
    <w:rsid w:val="00BA185B"/>
    <w:rsid w:val="00BC58B8"/>
    <w:rsid w:val="00C320A0"/>
    <w:rsid w:val="00C54B4C"/>
    <w:rsid w:val="00C827E0"/>
    <w:rsid w:val="00D82077"/>
    <w:rsid w:val="00D909EB"/>
    <w:rsid w:val="00EA4D2F"/>
    <w:rsid w:val="00EE0A2D"/>
    <w:rsid w:val="00EE7390"/>
    <w:rsid w:val="00F24B51"/>
    <w:rsid w:val="00F41AA3"/>
    <w:rsid w:val="00F46D27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2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52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7FCF-F74E-4E43-AD44-F97DD66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19</cp:revision>
  <cp:lastPrinted>2018-12-19T12:27:00Z</cp:lastPrinted>
  <dcterms:created xsi:type="dcterms:W3CDTF">2018-12-18T09:34:00Z</dcterms:created>
  <dcterms:modified xsi:type="dcterms:W3CDTF">2019-02-14T10:16:00Z</dcterms:modified>
</cp:coreProperties>
</file>