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4E" w:rsidRPr="006577DE" w:rsidRDefault="00BF2D24" w:rsidP="00BF2D24">
      <w:pPr>
        <w:tabs>
          <w:tab w:val="left" w:pos="5387"/>
        </w:tabs>
        <w:jc w:val="both"/>
        <w:rPr>
          <w:i/>
        </w:rPr>
      </w:pPr>
      <w:bookmarkStart w:id="0" w:name="_GoBack"/>
      <w:r w:rsidRPr="006577DE">
        <w:rPr>
          <w:b/>
          <w:i/>
        </w:rPr>
        <w:tab/>
      </w:r>
      <w:r w:rsidR="0041454E" w:rsidRPr="006577DE">
        <w:rPr>
          <w:i/>
        </w:rPr>
        <w:t>Додаток 1</w:t>
      </w:r>
    </w:p>
    <w:p w:rsidR="0041454E" w:rsidRPr="006577DE" w:rsidRDefault="0041454E" w:rsidP="00BF2D24">
      <w:pPr>
        <w:ind w:left="5387" w:right="-5"/>
        <w:jc w:val="both"/>
        <w:rPr>
          <w:i/>
        </w:rPr>
      </w:pPr>
      <w:r w:rsidRPr="006577DE">
        <w:rPr>
          <w:i/>
        </w:rPr>
        <w:t>до Аналізу регуляторного впливу</w:t>
      </w:r>
      <w:r w:rsidR="00BF2D24" w:rsidRPr="006577DE">
        <w:rPr>
          <w:i/>
        </w:rPr>
        <w:t xml:space="preserve"> </w:t>
      </w:r>
      <w:r w:rsidRPr="006577DE">
        <w:rPr>
          <w:rStyle w:val="a3"/>
          <w:b w:val="0"/>
          <w:i/>
        </w:rPr>
        <w:t>до</w:t>
      </w:r>
      <w:r w:rsidR="00BF2D24" w:rsidRPr="006577DE">
        <w:rPr>
          <w:rStyle w:val="a3"/>
          <w:b w:val="0"/>
          <w:i/>
        </w:rPr>
        <w:t xml:space="preserve"> </w:t>
      </w:r>
      <w:r w:rsidRPr="006577DE">
        <w:rPr>
          <w:rStyle w:val="a3"/>
          <w:b w:val="0"/>
          <w:i/>
        </w:rPr>
        <w:t>проекту</w:t>
      </w:r>
      <w:r w:rsidRPr="006577DE">
        <w:rPr>
          <w:rStyle w:val="a3"/>
          <w:i/>
        </w:rPr>
        <w:t xml:space="preserve"> </w:t>
      </w:r>
      <w:r w:rsidRPr="006577DE">
        <w:rPr>
          <w:i/>
        </w:rPr>
        <w:t>рішення Криворізької міської</w:t>
      </w:r>
      <w:r w:rsidR="00BF2D24" w:rsidRPr="006577DE">
        <w:rPr>
          <w:i/>
        </w:rPr>
        <w:t xml:space="preserve"> </w:t>
      </w:r>
      <w:r w:rsidRPr="006577DE">
        <w:rPr>
          <w:i/>
        </w:rPr>
        <w:t xml:space="preserve">ради «Про затвердження Правил </w:t>
      </w:r>
      <w:proofErr w:type="spellStart"/>
      <w:r w:rsidRPr="006577DE">
        <w:rPr>
          <w:i/>
        </w:rPr>
        <w:t>прий</w:t>
      </w:r>
      <w:r w:rsidR="00BF2D24" w:rsidRPr="006577DE">
        <w:rPr>
          <w:i/>
        </w:rPr>
        <w:t>-</w:t>
      </w:r>
      <w:r w:rsidRPr="006577DE">
        <w:rPr>
          <w:i/>
        </w:rPr>
        <w:t>мання</w:t>
      </w:r>
      <w:proofErr w:type="spellEnd"/>
      <w:r w:rsidRPr="006577DE">
        <w:rPr>
          <w:i/>
        </w:rPr>
        <w:t xml:space="preserve"> стічних вод до систем </w:t>
      </w:r>
      <w:proofErr w:type="spellStart"/>
      <w:r w:rsidRPr="006577DE">
        <w:rPr>
          <w:i/>
        </w:rPr>
        <w:t>центра</w:t>
      </w:r>
      <w:r w:rsidR="00BF2D24" w:rsidRPr="006577DE">
        <w:rPr>
          <w:i/>
        </w:rPr>
        <w:t>-</w:t>
      </w:r>
      <w:r w:rsidRPr="006577DE">
        <w:rPr>
          <w:i/>
        </w:rPr>
        <w:t>лізованого</w:t>
      </w:r>
      <w:proofErr w:type="spellEnd"/>
      <w:r w:rsidRPr="006577DE">
        <w:rPr>
          <w:i/>
        </w:rPr>
        <w:t xml:space="preserve"> водовідведення м. Кривого Рогу»</w:t>
      </w:r>
    </w:p>
    <w:p w:rsidR="0041454E" w:rsidRPr="006577DE" w:rsidRDefault="0041454E" w:rsidP="0041454E">
      <w:pPr>
        <w:shd w:val="clear" w:color="auto" w:fill="FFFFFF"/>
        <w:jc w:val="center"/>
        <w:rPr>
          <w:rStyle w:val="rvts15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D371B" w:rsidRPr="006577DE" w:rsidRDefault="008D371B" w:rsidP="0041454E">
      <w:pPr>
        <w:shd w:val="clear" w:color="auto" w:fill="FFFFFF"/>
        <w:jc w:val="center"/>
        <w:rPr>
          <w:rStyle w:val="rvts15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1454E" w:rsidRPr="006577DE" w:rsidRDefault="0041454E" w:rsidP="0041454E">
      <w:pPr>
        <w:shd w:val="clear" w:color="auto" w:fill="FFFFFF"/>
        <w:jc w:val="center"/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ВИТРАТИ</w:t>
      </w:r>
    </w:p>
    <w:p w:rsidR="0041454E" w:rsidRPr="006577DE" w:rsidRDefault="0041454E" w:rsidP="0041454E">
      <w:pPr>
        <w:shd w:val="clear" w:color="auto" w:fill="FFFFFF"/>
        <w:jc w:val="center"/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на одного суб’єкта господарювання великого </w:t>
      </w:r>
      <w:r w:rsidR="004E165B"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середнього підприємництва, </w:t>
      </w:r>
      <w:r w:rsidR="004E165B"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що</w:t>
      </w:r>
      <w:r w:rsidRPr="006577DE">
        <w:rPr>
          <w:rStyle w:val="rvts15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виникають внаслідок дії регуляторного акта</w:t>
      </w:r>
    </w:p>
    <w:p w:rsidR="0041454E" w:rsidRPr="006577DE" w:rsidRDefault="0041454E" w:rsidP="0041454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</w:p>
    <w:p w:rsidR="0041454E" w:rsidRPr="006577DE" w:rsidRDefault="0041454E" w:rsidP="004145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577DE">
        <w:rPr>
          <w:sz w:val="28"/>
          <w:szCs w:val="28"/>
          <w:lang w:val="uk-UA"/>
        </w:rPr>
        <w:t xml:space="preserve">Зазначені </w:t>
      </w:r>
      <w:r w:rsidR="004E165B" w:rsidRPr="006577DE">
        <w:rPr>
          <w:sz w:val="28"/>
          <w:szCs w:val="28"/>
          <w:lang w:val="uk-UA"/>
        </w:rPr>
        <w:t>в</w:t>
      </w:r>
      <w:r w:rsidRPr="006577DE">
        <w:rPr>
          <w:sz w:val="28"/>
          <w:szCs w:val="28"/>
          <w:lang w:val="uk-UA"/>
        </w:rPr>
        <w:t xml:space="preserve"> аналітичній таблиці показники (витрати) суб’єктів господарювання відповідно до Положення про порядок і умови користування даними Єдиного державного реєстру підприємств та орга</w:t>
      </w:r>
      <w:r w:rsidR="004E165B" w:rsidRPr="006577DE">
        <w:rPr>
          <w:sz w:val="28"/>
          <w:szCs w:val="28"/>
          <w:lang w:val="uk-UA"/>
        </w:rPr>
        <w:t>нізацій України, затвердженого Н</w:t>
      </w:r>
      <w:r w:rsidRPr="006577DE">
        <w:rPr>
          <w:sz w:val="28"/>
          <w:szCs w:val="28"/>
          <w:lang w:val="uk-UA"/>
        </w:rPr>
        <w:t xml:space="preserve">аказом </w:t>
      </w:r>
      <w:r w:rsidR="008D371B" w:rsidRPr="006577DE">
        <w:rPr>
          <w:sz w:val="28"/>
          <w:szCs w:val="28"/>
          <w:lang w:val="uk-UA"/>
        </w:rPr>
        <w:t xml:space="preserve">Державного комітету статистики України від </w:t>
      </w:r>
      <w:r w:rsidR="003D10B2" w:rsidRPr="006577DE">
        <w:rPr>
          <w:sz w:val="28"/>
          <w:szCs w:val="28"/>
          <w:lang w:val="uk-UA"/>
        </w:rPr>
        <w:t xml:space="preserve">                       </w:t>
      </w:r>
      <w:r w:rsidR="008D371B" w:rsidRPr="006577DE">
        <w:rPr>
          <w:sz w:val="28"/>
          <w:szCs w:val="28"/>
          <w:lang w:val="uk-UA"/>
        </w:rPr>
        <w:t xml:space="preserve">28 листопада </w:t>
      </w:r>
      <w:r w:rsidRPr="006577DE">
        <w:rPr>
          <w:sz w:val="28"/>
          <w:szCs w:val="28"/>
          <w:lang w:val="uk-UA"/>
        </w:rPr>
        <w:t xml:space="preserve">2005 </w:t>
      </w:r>
      <w:r w:rsidR="008D371B" w:rsidRPr="006577DE">
        <w:rPr>
          <w:sz w:val="28"/>
          <w:szCs w:val="28"/>
          <w:lang w:val="uk-UA"/>
        </w:rPr>
        <w:t>року №386 не належать</w:t>
      </w:r>
      <w:r w:rsidRPr="006577DE">
        <w:rPr>
          <w:sz w:val="28"/>
          <w:szCs w:val="28"/>
          <w:lang w:val="uk-UA"/>
        </w:rPr>
        <w:t xml:space="preserve"> до компетенції органів державної статистики та/або не передбачені статистичною звітністю. </w:t>
      </w:r>
    </w:p>
    <w:p w:rsidR="0041454E" w:rsidRPr="006577DE" w:rsidRDefault="008D371B" w:rsidP="004145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577DE">
        <w:rPr>
          <w:sz w:val="28"/>
          <w:szCs w:val="28"/>
          <w:lang w:val="uk-UA"/>
        </w:rPr>
        <w:t>Н</w:t>
      </w:r>
      <w:r w:rsidR="0041454E" w:rsidRPr="006577DE">
        <w:rPr>
          <w:sz w:val="28"/>
          <w:szCs w:val="28"/>
          <w:lang w:val="uk-UA"/>
        </w:rPr>
        <w:t>аведені в таблиці витрати суб’єктів господарювання не містяться в податкових деклараціях, розрахунках, звітах та інших документах, що надходять до Державної фіскальної служби України у Дніпропетровській області. Крім того, дані щодо таких витрат суб’єктів господарювання не містяться в звітах та інших документах, що надходять до структурних підрозділів Криворізької міської ради.</w:t>
      </w:r>
    </w:p>
    <w:p w:rsidR="0041454E" w:rsidRPr="006577DE" w:rsidRDefault="0041454E" w:rsidP="004145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577DE">
        <w:rPr>
          <w:sz w:val="28"/>
          <w:szCs w:val="28"/>
          <w:lang w:val="uk-UA"/>
        </w:rPr>
        <w:t>Витрати наведені в таблицях, отримані шляхом опитування та анкетування споживачів послуги централізованого водовідведення.</w:t>
      </w:r>
    </w:p>
    <w:p w:rsidR="0041454E" w:rsidRPr="006577DE" w:rsidRDefault="0041454E" w:rsidP="0041454E">
      <w:pPr>
        <w:shd w:val="clear" w:color="auto" w:fill="FFFFFF"/>
        <w:jc w:val="both"/>
        <w:rPr>
          <w:sz w:val="28"/>
          <w:szCs w:val="28"/>
        </w:rPr>
      </w:pPr>
    </w:p>
    <w:p w:rsidR="0041454E" w:rsidRPr="006577DE" w:rsidRDefault="0041454E" w:rsidP="003D10B2">
      <w:pPr>
        <w:shd w:val="clear" w:color="auto" w:fill="FFFFFF"/>
        <w:ind w:firstLine="708"/>
        <w:jc w:val="center"/>
        <w:rPr>
          <w:b/>
          <w:i/>
          <w:sz w:val="28"/>
          <w:szCs w:val="28"/>
        </w:rPr>
      </w:pPr>
      <w:r w:rsidRPr="006577DE">
        <w:rPr>
          <w:b/>
          <w:i/>
          <w:sz w:val="28"/>
          <w:szCs w:val="28"/>
        </w:rPr>
        <w:t xml:space="preserve">Витрати на одного суб’єкта господарювання великого й середнього підприємництва, </w:t>
      </w:r>
      <w:r w:rsidR="00EB4F77" w:rsidRPr="006577DE">
        <w:rPr>
          <w:b/>
          <w:i/>
          <w:sz w:val="28"/>
          <w:szCs w:val="28"/>
        </w:rPr>
        <w:t>що</w:t>
      </w:r>
      <w:r w:rsidRPr="006577DE">
        <w:rPr>
          <w:b/>
          <w:i/>
          <w:sz w:val="28"/>
          <w:szCs w:val="28"/>
        </w:rPr>
        <w:t xml:space="preserve"> виникають внаслідок дії регуляторного акта</w:t>
      </w:r>
    </w:p>
    <w:p w:rsidR="0041454E" w:rsidRPr="006577DE" w:rsidRDefault="0041454E" w:rsidP="003D10B2">
      <w:pPr>
        <w:shd w:val="clear" w:color="auto" w:fill="FFFFFF"/>
        <w:ind w:firstLine="708"/>
        <w:jc w:val="center"/>
        <w:rPr>
          <w:b/>
          <w:i/>
          <w:sz w:val="28"/>
          <w:szCs w:val="28"/>
        </w:rPr>
      </w:pPr>
    </w:p>
    <w:tbl>
      <w:tblPr>
        <w:tblW w:w="507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979"/>
        <w:gridCol w:w="141"/>
        <w:gridCol w:w="1842"/>
        <w:gridCol w:w="1986"/>
        <w:gridCol w:w="8"/>
        <w:gridCol w:w="1840"/>
      </w:tblGrid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1522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Найменування оцінки</w:t>
            </w:r>
          </w:p>
        </w:tc>
        <w:tc>
          <w:tcPr>
            <w:tcW w:w="1013" w:type="pct"/>
            <w:gridSpan w:val="2"/>
            <w:hideMark/>
          </w:tcPr>
          <w:p w:rsidR="0041454E" w:rsidRPr="006577DE" w:rsidRDefault="008D371B" w:rsidP="006714A1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У перший рік (стартовий рік у</w:t>
            </w:r>
            <w:r w:rsidR="0041454E" w:rsidRPr="006577DE">
              <w:rPr>
                <w:b/>
                <w:i/>
                <w:sz w:val="28"/>
                <w:szCs w:val="28"/>
              </w:rPr>
              <w:t>провадження регулювання)</w:t>
            </w:r>
          </w:p>
        </w:tc>
        <w:tc>
          <w:tcPr>
            <w:tcW w:w="1015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943" w:type="pct"/>
            <w:gridSpan w:val="2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Витрати за п’ять років</w:t>
            </w:r>
          </w:p>
        </w:tc>
      </w:tr>
      <w:tr w:rsidR="008D371B" w:rsidRPr="006577DE" w:rsidTr="00F50C54">
        <w:trPr>
          <w:trHeight w:val="13"/>
        </w:trPr>
        <w:tc>
          <w:tcPr>
            <w:tcW w:w="506" w:type="pct"/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1</w:t>
            </w:r>
          </w:p>
        </w:tc>
        <w:tc>
          <w:tcPr>
            <w:tcW w:w="1522" w:type="pct"/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2</w:t>
            </w:r>
          </w:p>
        </w:tc>
        <w:tc>
          <w:tcPr>
            <w:tcW w:w="1013" w:type="pct"/>
            <w:gridSpan w:val="2"/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3</w:t>
            </w:r>
          </w:p>
        </w:tc>
        <w:tc>
          <w:tcPr>
            <w:tcW w:w="1015" w:type="pct"/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4</w:t>
            </w:r>
          </w:p>
        </w:tc>
        <w:tc>
          <w:tcPr>
            <w:tcW w:w="943" w:type="pct"/>
            <w:gridSpan w:val="2"/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5</w:t>
            </w:r>
          </w:p>
        </w:tc>
      </w:tr>
      <w:tr w:rsidR="008D371B" w:rsidRPr="006577DE" w:rsidTr="008D371B">
        <w:trPr>
          <w:trHeight w:val="749"/>
        </w:trPr>
        <w:tc>
          <w:tcPr>
            <w:tcW w:w="5000" w:type="pct"/>
            <w:gridSpan w:val="7"/>
            <w:vAlign w:val="center"/>
          </w:tcPr>
          <w:p w:rsidR="008D371B" w:rsidRPr="006577DE" w:rsidRDefault="008D371B" w:rsidP="008D371B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Оцінка «прямих» витрат суб’єктів великого та середнього підприємництва на виконання регулювання</w:t>
            </w:r>
          </w:p>
        </w:tc>
      </w:tr>
      <w:tr w:rsidR="008D371B" w:rsidRPr="006577DE" w:rsidTr="00F50C54">
        <w:trPr>
          <w:trHeight w:val="2310"/>
        </w:trPr>
        <w:tc>
          <w:tcPr>
            <w:tcW w:w="506" w:type="pct"/>
            <w:tcBorders>
              <w:bottom w:val="single" w:sz="4" w:space="0" w:color="auto"/>
            </w:tcBorders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:rsidR="008D371B" w:rsidRPr="006577DE" w:rsidRDefault="008D371B" w:rsidP="00881E53">
            <w:pPr>
              <w:jc w:val="both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Витрати на придбання локальних очисних споруд або пристрої для попереднього </w:t>
            </w:r>
            <w:proofErr w:type="spellStart"/>
            <w:r w:rsidRPr="006577DE">
              <w:rPr>
                <w:sz w:val="28"/>
                <w:szCs w:val="28"/>
              </w:rPr>
              <w:t>очищен</w:t>
            </w:r>
            <w:r w:rsidR="00881E53" w:rsidRPr="006577DE">
              <w:rPr>
                <w:sz w:val="28"/>
                <w:szCs w:val="28"/>
              </w:rPr>
              <w:t>-</w:t>
            </w:r>
            <w:r w:rsidRPr="006577DE">
              <w:rPr>
                <w:sz w:val="28"/>
                <w:szCs w:val="28"/>
              </w:rPr>
              <w:t>ня</w:t>
            </w:r>
            <w:proofErr w:type="spellEnd"/>
            <w:r w:rsidRPr="006577DE">
              <w:rPr>
                <w:sz w:val="28"/>
                <w:szCs w:val="28"/>
              </w:rPr>
              <w:t xml:space="preserve"> стічних вод перед їх скиданням до</w:t>
            </w:r>
            <w:r w:rsidR="003D10B2" w:rsidRPr="006577DE">
              <w:rPr>
                <w:sz w:val="28"/>
                <w:szCs w:val="28"/>
              </w:rPr>
              <w:t xml:space="preserve"> систем </w:t>
            </w:r>
            <w:r w:rsidR="006B2669" w:rsidRPr="006577DE">
              <w:rPr>
                <w:sz w:val="28"/>
                <w:szCs w:val="28"/>
              </w:rPr>
              <w:t xml:space="preserve">  </w:t>
            </w:r>
            <w:r w:rsidR="003D10B2" w:rsidRPr="006577DE">
              <w:rPr>
                <w:sz w:val="28"/>
                <w:szCs w:val="28"/>
              </w:rPr>
              <w:t>централізова</w:t>
            </w:r>
            <w:r w:rsidR="00881E53" w:rsidRPr="006577DE">
              <w:rPr>
                <w:sz w:val="28"/>
                <w:szCs w:val="28"/>
              </w:rPr>
              <w:t>ного</w:t>
            </w:r>
            <w:r w:rsidRPr="006577DE">
              <w:rPr>
                <w:sz w:val="28"/>
                <w:szCs w:val="28"/>
              </w:rPr>
              <w:t xml:space="preserve"> </w:t>
            </w:r>
            <w:proofErr w:type="spellStart"/>
            <w:r w:rsidR="00881E53" w:rsidRPr="006577DE">
              <w:rPr>
                <w:sz w:val="28"/>
                <w:szCs w:val="28"/>
              </w:rPr>
              <w:t>водо-</w:t>
            </w:r>
            <w:proofErr w:type="spellEnd"/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40 000,00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8D371B" w:rsidRPr="006577DE" w:rsidRDefault="008D371B" w:rsidP="006B2669">
            <w:pPr>
              <w:jc w:val="both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rFonts w:eastAsia="Calibri"/>
                <w:sz w:val="28"/>
                <w:szCs w:val="28"/>
              </w:rPr>
              <w:t xml:space="preserve">Суб’єкт </w:t>
            </w:r>
            <w:proofErr w:type="spellStart"/>
            <w:r w:rsidRPr="006577DE">
              <w:rPr>
                <w:rFonts w:eastAsia="Calibri"/>
                <w:sz w:val="28"/>
                <w:szCs w:val="28"/>
              </w:rPr>
              <w:t>пови-нен</w:t>
            </w:r>
            <w:proofErr w:type="spellEnd"/>
            <w:r w:rsidRPr="006577DE">
              <w:rPr>
                <w:rFonts w:eastAsia="Calibri"/>
                <w:sz w:val="28"/>
                <w:szCs w:val="28"/>
              </w:rPr>
              <w:t xml:space="preserve"> виконувати зазначену </w:t>
            </w:r>
            <w:proofErr w:type="spellStart"/>
            <w:r w:rsidRPr="006577DE">
              <w:rPr>
                <w:rFonts w:eastAsia="Calibri"/>
                <w:sz w:val="28"/>
                <w:szCs w:val="28"/>
              </w:rPr>
              <w:t>ви-могу</w:t>
            </w:r>
            <w:proofErr w:type="spellEnd"/>
            <w:r w:rsidRPr="006577D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577DE">
              <w:rPr>
                <w:rFonts w:eastAsia="Calibri"/>
                <w:sz w:val="28"/>
                <w:szCs w:val="28"/>
              </w:rPr>
              <w:t>регулю-вання</w:t>
            </w:r>
            <w:proofErr w:type="spellEnd"/>
            <w:r w:rsidRPr="006577DE">
              <w:rPr>
                <w:rFonts w:eastAsia="Calibri"/>
                <w:sz w:val="28"/>
                <w:szCs w:val="28"/>
              </w:rPr>
              <w:t xml:space="preserve"> лише один раз, тобто</w:t>
            </w:r>
            <w:r w:rsidR="003D10B2" w:rsidRPr="006577DE">
              <w:rPr>
                <w:rFonts w:eastAsia="Calibri"/>
                <w:sz w:val="28"/>
                <w:szCs w:val="28"/>
              </w:rPr>
              <w:t xml:space="preserve"> в  перший   рік</w:t>
            </w: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</w:tcPr>
          <w:p w:rsidR="008D371B" w:rsidRPr="006577DE" w:rsidRDefault="008D371B" w:rsidP="006714A1">
            <w:pPr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3D10B2" w:rsidRPr="006577DE" w:rsidTr="006B2669">
        <w:trPr>
          <w:trHeight w:val="26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3D10B2" w:rsidRPr="006577DE" w:rsidRDefault="003D10B2" w:rsidP="00EB4F77">
            <w:pPr>
              <w:jc w:val="right"/>
              <w:textAlignment w:val="baseline"/>
              <w:rPr>
                <w:rFonts w:eastAsia="Calibri"/>
                <w:i/>
              </w:rPr>
            </w:pPr>
            <w:r w:rsidRPr="006577DE">
              <w:rPr>
                <w:i/>
              </w:rPr>
              <w:lastRenderedPageBreak/>
              <w:t>Продовження додатк</w:t>
            </w:r>
            <w:r w:rsidR="00EB4F77" w:rsidRPr="006577DE">
              <w:rPr>
                <w:i/>
              </w:rPr>
              <w:t xml:space="preserve">а </w:t>
            </w:r>
            <w:r w:rsidRPr="006577DE">
              <w:rPr>
                <w:i/>
              </w:rPr>
              <w:t>1</w:t>
            </w:r>
          </w:p>
        </w:tc>
      </w:tr>
      <w:tr w:rsidR="008D371B" w:rsidRPr="006577DE" w:rsidTr="00F50C54">
        <w:trPr>
          <w:trHeight w:val="260"/>
        </w:trPr>
        <w:tc>
          <w:tcPr>
            <w:tcW w:w="506" w:type="pct"/>
          </w:tcPr>
          <w:p w:rsidR="008D371B" w:rsidRPr="006577DE" w:rsidRDefault="008D371B" w:rsidP="003D10B2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1</w:t>
            </w:r>
          </w:p>
        </w:tc>
        <w:tc>
          <w:tcPr>
            <w:tcW w:w="1594" w:type="pct"/>
            <w:gridSpan w:val="2"/>
          </w:tcPr>
          <w:p w:rsidR="008D371B" w:rsidRPr="006577DE" w:rsidRDefault="008D371B" w:rsidP="008D371B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2</w:t>
            </w:r>
          </w:p>
        </w:tc>
        <w:tc>
          <w:tcPr>
            <w:tcW w:w="941" w:type="pct"/>
          </w:tcPr>
          <w:p w:rsidR="008D371B" w:rsidRPr="006577DE" w:rsidRDefault="008D371B" w:rsidP="008D371B">
            <w:pPr>
              <w:pStyle w:val="a4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3</w:t>
            </w:r>
          </w:p>
        </w:tc>
        <w:tc>
          <w:tcPr>
            <w:tcW w:w="1015" w:type="pct"/>
          </w:tcPr>
          <w:p w:rsidR="008D371B" w:rsidRPr="006577DE" w:rsidRDefault="008D371B" w:rsidP="008D371B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4</w:t>
            </w:r>
          </w:p>
        </w:tc>
        <w:tc>
          <w:tcPr>
            <w:tcW w:w="943" w:type="pct"/>
            <w:gridSpan w:val="2"/>
          </w:tcPr>
          <w:p w:rsidR="008D371B" w:rsidRPr="006577DE" w:rsidRDefault="008D371B" w:rsidP="008D371B">
            <w:pPr>
              <w:jc w:val="center"/>
              <w:textAlignment w:val="baseline"/>
              <w:rPr>
                <w:rFonts w:eastAsia="Calibri"/>
                <w:i/>
              </w:rPr>
            </w:pPr>
            <w:r w:rsidRPr="006577DE">
              <w:rPr>
                <w:rFonts w:eastAsia="Calibri"/>
                <w:i/>
              </w:rPr>
              <w:t>5</w:t>
            </w:r>
          </w:p>
        </w:tc>
      </w:tr>
      <w:tr w:rsidR="0041454E" w:rsidRPr="006577DE" w:rsidTr="00F50C54">
        <w:trPr>
          <w:trHeight w:val="949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hideMark/>
          </w:tcPr>
          <w:p w:rsidR="0041454E" w:rsidRPr="006577DE" w:rsidRDefault="008D371B" w:rsidP="006B2669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відведення, </w:t>
            </w:r>
            <w:r w:rsidR="003D10B2" w:rsidRPr="006577DE">
              <w:rPr>
                <w:sz w:val="28"/>
                <w:szCs w:val="28"/>
              </w:rPr>
              <w:t>грн.</w:t>
            </w:r>
            <w:r w:rsidRPr="006577DE">
              <w:rPr>
                <w:sz w:val="28"/>
                <w:szCs w:val="28"/>
              </w:rPr>
              <w:t>*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41454E" w:rsidRPr="006577DE" w:rsidRDefault="0041454E" w:rsidP="006714A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5" w:type="pct"/>
          </w:tcPr>
          <w:p w:rsidR="0041454E" w:rsidRPr="006577DE" w:rsidRDefault="00EB4F77" w:rsidP="006714A1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rFonts w:eastAsia="Calibri"/>
                <w:sz w:val="28"/>
                <w:szCs w:val="28"/>
              </w:rPr>
              <w:t>у</w:t>
            </w:r>
            <w:r w:rsidR="008D371B" w:rsidRPr="006577DE">
              <w:rPr>
                <w:rFonts w:eastAsia="Calibri"/>
                <w:sz w:val="28"/>
                <w:szCs w:val="28"/>
              </w:rPr>
              <w:t>провадження регулювання</w:t>
            </w:r>
          </w:p>
        </w:tc>
        <w:tc>
          <w:tcPr>
            <w:tcW w:w="943" w:type="pct"/>
            <w:gridSpan w:val="2"/>
          </w:tcPr>
          <w:p w:rsidR="0041454E" w:rsidRPr="006577DE" w:rsidRDefault="0041454E" w:rsidP="006714A1">
            <w:pPr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41454E" w:rsidRPr="006577DE" w:rsidTr="004A1ED9">
        <w:trPr>
          <w:trHeight w:val="2008"/>
        </w:trPr>
        <w:tc>
          <w:tcPr>
            <w:tcW w:w="5000" w:type="pct"/>
            <w:gridSpan w:val="7"/>
          </w:tcPr>
          <w:p w:rsidR="0041454E" w:rsidRPr="006577DE" w:rsidRDefault="0041454E" w:rsidP="004A1ED9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 xml:space="preserve">* </w:t>
            </w:r>
            <w:r w:rsidR="008D371B" w:rsidRPr="006577DE">
              <w:rPr>
                <w:i/>
                <w:sz w:val="28"/>
                <w:szCs w:val="28"/>
                <w:lang w:val="uk-UA"/>
              </w:rPr>
              <w:t>Витрати є орієнтовними й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 отримані шляхом опитування та анкетування споживачів послуги централізованого водовідведення. </w:t>
            </w:r>
            <w:r w:rsidR="004A1ED9" w:rsidRPr="006577DE">
              <w:rPr>
                <w:i/>
                <w:sz w:val="28"/>
                <w:szCs w:val="28"/>
                <w:lang w:val="uk-UA"/>
              </w:rPr>
              <w:t>У</w:t>
            </w:r>
            <w:r w:rsidRPr="006577DE">
              <w:rPr>
                <w:i/>
                <w:sz w:val="28"/>
                <w:szCs w:val="28"/>
                <w:lang w:val="uk-UA"/>
              </w:rPr>
              <w:t>сі суб’єкти великого та середн</w:t>
            </w:r>
            <w:r w:rsidR="00EB4F77" w:rsidRPr="006577DE">
              <w:rPr>
                <w:i/>
                <w:sz w:val="28"/>
                <w:szCs w:val="28"/>
                <w:lang w:val="uk-UA"/>
              </w:rPr>
              <w:t>ього підприємництва потребують у</w:t>
            </w:r>
            <w:r w:rsidRPr="006577DE">
              <w:rPr>
                <w:i/>
                <w:sz w:val="28"/>
                <w:szCs w:val="28"/>
                <w:lang w:val="uk-UA"/>
              </w:rPr>
              <w:t>становлення локальних очисних споруд, але</w:t>
            </w:r>
            <w:r w:rsidR="004A1ED9" w:rsidRPr="006577DE">
              <w:rPr>
                <w:i/>
                <w:sz w:val="28"/>
                <w:szCs w:val="28"/>
                <w:lang w:val="uk-UA"/>
              </w:rPr>
              <w:t>,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 зважаючи на диференційовану специфіку їх роботи та прогнозоване усереднене значення вартості таких споруд, витрати складатимуть </w:t>
            </w:r>
            <w:r w:rsidR="004A1ED9" w:rsidRPr="006577DE">
              <w:rPr>
                <w:i/>
                <w:sz w:val="28"/>
                <w:szCs w:val="28"/>
                <w:lang w:val="uk-UA"/>
              </w:rPr>
              <w:t xml:space="preserve">               </w:t>
            </w:r>
            <w:r w:rsidRPr="006577DE">
              <w:rPr>
                <w:i/>
                <w:sz w:val="28"/>
                <w:szCs w:val="28"/>
                <w:lang w:val="uk-UA"/>
              </w:rPr>
              <w:t>40 000,00 грн</w:t>
            </w:r>
            <w:r w:rsidR="004A1ED9" w:rsidRPr="006577DE">
              <w:rPr>
                <w:i/>
                <w:sz w:val="28"/>
                <w:szCs w:val="28"/>
                <w:lang w:val="uk-UA"/>
              </w:rPr>
              <w:t>.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 на кожного суб’єкта великого та середнього підприємництва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2</w:t>
            </w:r>
          </w:p>
        </w:tc>
        <w:tc>
          <w:tcPr>
            <w:tcW w:w="1594" w:type="pct"/>
            <w:gridSpan w:val="2"/>
          </w:tcPr>
          <w:p w:rsidR="0041454E" w:rsidRPr="006577DE" w:rsidRDefault="0041454E" w:rsidP="00881E53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  <w:shd w:val="clear" w:color="auto" w:fill="FFFFFF"/>
              </w:rPr>
              <w:t xml:space="preserve">Процедури повірки та/або постановки на відповідний облік у визначеному органі </w:t>
            </w:r>
            <w:proofErr w:type="spellStart"/>
            <w:r w:rsidRPr="006577DE">
              <w:rPr>
                <w:sz w:val="28"/>
                <w:szCs w:val="28"/>
                <w:shd w:val="clear" w:color="auto" w:fill="FFFFFF"/>
              </w:rPr>
              <w:t>дер</w:t>
            </w:r>
            <w:r w:rsidR="0077675A" w:rsidRPr="006577DE">
              <w:rPr>
                <w:sz w:val="28"/>
                <w:szCs w:val="28"/>
                <w:shd w:val="clear" w:color="auto" w:fill="FFFFFF"/>
              </w:rPr>
              <w:t>-</w:t>
            </w:r>
            <w:r w:rsidRPr="006577DE">
              <w:rPr>
                <w:sz w:val="28"/>
                <w:szCs w:val="28"/>
                <w:shd w:val="clear" w:color="auto" w:fill="FFFFFF"/>
              </w:rPr>
              <w:t>жавної</w:t>
            </w:r>
            <w:proofErr w:type="spellEnd"/>
            <w:r w:rsidRPr="006577DE">
              <w:rPr>
                <w:sz w:val="28"/>
                <w:szCs w:val="28"/>
                <w:shd w:val="clear" w:color="auto" w:fill="FFFFFF"/>
              </w:rPr>
              <w:t xml:space="preserve"> влади чи </w:t>
            </w:r>
            <w:proofErr w:type="spellStart"/>
            <w:r w:rsidRPr="006577DE">
              <w:rPr>
                <w:sz w:val="28"/>
                <w:szCs w:val="28"/>
                <w:shd w:val="clear" w:color="auto" w:fill="FFFFFF"/>
              </w:rPr>
              <w:t>міс</w:t>
            </w:r>
            <w:r w:rsidR="00881E53" w:rsidRPr="006577DE">
              <w:rPr>
                <w:sz w:val="28"/>
                <w:szCs w:val="28"/>
                <w:shd w:val="clear" w:color="auto" w:fill="FFFFFF"/>
              </w:rPr>
              <w:t>-</w:t>
            </w:r>
            <w:r w:rsidRPr="006577DE">
              <w:rPr>
                <w:sz w:val="28"/>
                <w:szCs w:val="28"/>
                <w:shd w:val="clear" w:color="auto" w:fill="FFFFFF"/>
              </w:rPr>
              <w:t>цевого</w:t>
            </w:r>
            <w:proofErr w:type="spellEnd"/>
            <w:r w:rsidRPr="006577DE">
              <w:rPr>
                <w:sz w:val="28"/>
                <w:szCs w:val="28"/>
                <w:shd w:val="clear" w:color="auto" w:fill="FFFFFF"/>
              </w:rPr>
              <w:t xml:space="preserve"> самоврядування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5" w:type="pct"/>
          </w:tcPr>
          <w:p w:rsidR="0041454E" w:rsidRPr="006577DE" w:rsidRDefault="0041454E" w:rsidP="006714A1">
            <w:pPr>
              <w:ind w:firstLine="43"/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3</w:t>
            </w:r>
          </w:p>
        </w:tc>
        <w:tc>
          <w:tcPr>
            <w:tcW w:w="1594" w:type="pct"/>
            <w:gridSpan w:val="2"/>
            <w:vAlign w:val="center"/>
            <w:hideMark/>
          </w:tcPr>
          <w:p w:rsidR="0041454E" w:rsidRPr="006577DE" w:rsidRDefault="0041454E" w:rsidP="00881E53">
            <w:pPr>
              <w:jc w:val="both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Процедури експлуатації обладнання (</w:t>
            </w:r>
            <w:proofErr w:type="spellStart"/>
            <w:r w:rsidRPr="006577DE">
              <w:rPr>
                <w:sz w:val="28"/>
                <w:szCs w:val="28"/>
              </w:rPr>
              <w:t>експлуата-ційні</w:t>
            </w:r>
            <w:proofErr w:type="spellEnd"/>
            <w:r w:rsidRPr="006577DE">
              <w:rPr>
                <w:sz w:val="28"/>
                <w:szCs w:val="28"/>
              </w:rPr>
              <w:t xml:space="preserve"> матеріали – витратні матеріали), </w:t>
            </w:r>
            <w:r w:rsidR="004A1ED9" w:rsidRPr="006577DE">
              <w:rPr>
                <w:sz w:val="28"/>
                <w:szCs w:val="28"/>
              </w:rPr>
              <w:t>грн.</w:t>
            </w:r>
            <w:r w:rsidRPr="00657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5" w:type="pct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4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77675A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  <w:shd w:val="clear" w:color="auto" w:fill="FFFFFF"/>
              </w:rPr>
              <w:t xml:space="preserve">Процедури </w:t>
            </w:r>
            <w:proofErr w:type="spellStart"/>
            <w:r w:rsidRPr="006577DE">
              <w:rPr>
                <w:sz w:val="28"/>
                <w:szCs w:val="28"/>
                <w:shd w:val="clear" w:color="auto" w:fill="FFFFFF"/>
              </w:rPr>
              <w:t>обслугову-вання</w:t>
            </w:r>
            <w:proofErr w:type="spellEnd"/>
            <w:r w:rsidRPr="006577DE">
              <w:rPr>
                <w:sz w:val="28"/>
                <w:szCs w:val="28"/>
                <w:shd w:val="clear" w:color="auto" w:fill="FFFFFF"/>
              </w:rPr>
              <w:t xml:space="preserve"> обладнання (</w:t>
            </w:r>
            <w:proofErr w:type="spellStart"/>
            <w:r w:rsidR="0077675A" w:rsidRPr="006577DE">
              <w:rPr>
                <w:sz w:val="28"/>
                <w:szCs w:val="28"/>
                <w:shd w:val="clear" w:color="auto" w:fill="FFFFFF"/>
              </w:rPr>
              <w:t>тех-</w:t>
            </w:r>
            <w:r w:rsidRPr="006577DE">
              <w:rPr>
                <w:sz w:val="28"/>
                <w:szCs w:val="28"/>
                <w:shd w:val="clear" w:color="auto" w:fill="FFFFFF"/>
              </w:rPr>
              <w:t>нічне</w:t>
            </w:r>
            <w:proofErr w:type="spellEnd"/>
            <w:r w:rsidRPr="006577DE">
              <w:rPr>
                <w:sz w:val="28"/>
                <w:szCs w:val="28"/>
                <w:shd w:val="clear" w:color="auto" w:fill="FFFFFF"/>
              </w:rPr>
              <w:t xml:space="preserve"> обслуговування)</w:t>
            </w:r>
            <w:r w:rsidRPr="006577DE">
              <w:rPr>
                <w:sz w:val="28"/>
                <w:szCs w:val="28"/>
              </w:rPr>
              <w:t xml:space="preserve">, </w:t>
            </w:r>
            <w:r w:rsidR="004A1ED9" w:rsidRPr="006577DE">
              <w:rPr>
                <w:sz w:val="28"/>
                <w:szCs w:val="28"/>
              </w:rPr>
              <w:t>грн.</w:t>
            </w:r>
            <w:r w:rsidRPr="00657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5" w:type="pct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F50C54">
        <w:trPr>
          <w:trHeight w:val="1048"/>
        </w:trPr>
        <w:tc>
          <w:tcPr>
            <w:tcW w:w="506" w:type="pct"/>
            <w:hideMark/>
          </w:tcPr>
          <w:p w:rsidR="0041454E" w:rsidRPr="006577DE" w:rsidRDefault="0041454E" w:rsidP="004A1ED9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5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EB4F77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Інші процедури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9" w:type="pct"/>
            <w:gridSpan w:val="2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39" w:type="pct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6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4A1ED9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Разом, </w:t>
            </w:r>
            <w:r w:rsidR="004A1ED9" w:rsidRPr="006577DE">
              <w:rPr>
                <w:sz w:val="28"/>
                <w:szCs w:val="28"/>
              </w:rPr>
              <w:t>грн.</w:t>
            </w:r>
          </w:p>
        </w:tc>
        <w:tc>
          <w:tcPr>
            <w:tcW w:w="941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40 000,00</w:t>
            </w:r>
          </w:p>
        </w:tc>
        <w:tc>
          <w:tcPr>
            <w:tcW w:w="1015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Х</w:t>
            </w:r>
          </w:p>
        </w:tc>
        <w:tc>
          <w:tcPr>
            <w:tcW w:w="943" w:type="pct"/>
            <w:gridSpan w:val="2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7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6714A1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Кількість суб’єктів </w:t>
            </w:r>
            <w:proofErr w:type="spellStart"/>
            <w:r w:rsidRPr="006577DE">
              <w:rPr>
                <w:sz w:val="28"/>
                <w:szCs w:val="28"/>
              </w:rPr>
              <w:t>гос-поддарювання</w:t>
            </w:r>
            <w:proofErr w:type="spellEnd"/>
            <w:r w:rsidRPr="006577DE">
              <w:rPr>
                <w:sz w:val="28"/>
                <w:szCs w:val="28"/>
              </w:rPr>
              <w:t xml:space="preserve">, що </w:t>
            </w:r>
            <w:proofErr w:type="spellStart"/>
            <w:r w:rsidRPr="006577DE">
              <w:rPr>
                <w:sz w:val="28"/>
                <w:szCs w:val="28"/>
              </w:rPr>
              <w:t>пови-нні</w:t>
            </w:r>
            <w:proofErr w:type="spellEnd"/>
            <w:r w:rsidRPr="006577DE">
              <w:rPr>
                <w:sz w:val="28"/>
                <w:szCs w:val="28"/>
              </w:rPr>
              <w:t xml:space="preserve"> виконати вимоги регулювання, одиниць</w:t>
            </w:r>
          </w:p>
        </w:tc>
        <w:tc>
          <w:tcPr>
            <w:tcW w:w="941" w:type="pct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180</w:t>
            </w:r>
          </w:p>
        </w:tc>
        <w:tc>
          <w:tcPr>
            <w:tcW w:w="1019" w:type="pct"/>
            <w:gridSpan w:val="2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39" w:type="pct"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180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8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4A1ED9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Сумарно, </w:t>
            </w:r>
            <w:r w:rsidR="004A1ED9" w:rsidRPr="006577DE">
              <w:rPr>
                <w:sz w:val="28"/>
                <w:szCs w:val="28"/>
              </w:rPr>
              <w:t>грн.</w:t>
            </w:r>
          </w:p>
        </w:tc>
        <w:tc>
          <w:tcPr>
            <w:tcW w:w="941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7 200 000,00</w:t>
            </w:r>
          </w:p>
        </w:tc>
        <w:tc>
          <w:tcPr>
            <w:tcW w:w="1015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Х</w:t>
            </w:r>
          </w:p>
        </w:tc>
        <w:tc>
          <w:tcPr>
            <w:tcW w:w="943" w:type="pct"/>
            <w:gridSpan w:val="2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41454E" w:rsidRPr="006577DE" w:rsidTr="006714A1">
        <w:trPr>
          <w:trHeight w:val="13"/>
        </w:trPr>
        <w:tc>
          <w:tcPr>
            <w:tcW w:w="5000" w:type="pct"/>
            <w:gridSpan w:val="7"/>
            <w:hideMark/>
          </w:tcPr>
          <w:p w:rsidR="0041454E" w:rsidRPr="006577DE" w:rsidRDefault="0041454E" w:rsidP="004A1ED9">
            <w:pPr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Оцінка вартості адміністративних процедур суб’єктів великого </w:t>
            </w:r>
            <w:r w:rsidR="004A1ED9" w:rsidRPr="006577DE">
              <w:rPr>
                <w:sz w:val="28"/>
                <w:szCs w:val="28"/>
              </w:rPr>
              <w:t>й</w:t>
            </w:r>
            <w:r w:rsidRPr="006577DE">
              <w:rPr>
                <w:sz w:val="28"/>
                <w:szCs w:val="28"/>
              </w:rPr>
              <w:t xml:space="preserve"> середнього підприємництва щодо виконання регулювання та звітування</w:t>
            </w:r>
          </w:p>
        </w:tc>
      </w:tr>
      <w:tr w:rsidR="0041454E" w:rsidRPr="006577DE" w:rsidTr="00F50C54">
        <w:trPr>
          <w:trHeight w:val="13"/>
        </w:trPr>
        <w:tc>
          <w:tcPr>
            <w:tcW w:w="506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9</w:t>
            </w:r>
          </w:p>
        </w:tc>
        <w:tc>
          <w:tcPr>
            <w:tcW w:w="1594" w:type="pct"/>
            <w:gridSpan w:val="2"/>
            <w:hideMark/>
          </w:tcPr>
          <w:p w:rsidR="0041454E" w:rsidRPr="006577DE" w:rsidRDefault="0041454E" w:rsidP="00F50C54">
            <w:pPr>
              <w:jc w:val="both"/>
              <w:rPr>
                <w:i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Витрати на одного суб’єкта </w:t>
            </w:r>
            <w:proofErr w:type="spellStart"/>
            <w:r w:rsidRPr="006577DE">
              <w:rPr>
                <w:sz w:val="28"/>
                <w:szCs w:val="28"/>
              </w:rPr>
              <w:t>господарюва-ння</w:t>
            </w:r>
            <w:proofErr w:type="spellEnd"/>
            <w:r w:rsidRPr="006577DE">
              <w:rPr>
                <w:sz w:val="28"/>
                <w:szCs w:val="28"/>
              </w:rPr>
              <w:t xml:space="preserve">, пов’язані з </w:t>
            </w:r>
            <w:proofErr w:type="spellStart"/>
            <w:r w:rsidRPr="006577DE">
              <w:rPr>
                <w:sz w:val="28"/>
                <w:szCs w:val="28"/>
              </w:rPr>
              <w:t>озна</w:t>
            </w:r>
            <w:r w:rsidR="00FF321B" w:rsidRPr="006577DE">
              <w:rPr>
                <w:sz w:val="28"/>
                <w:szCs w:val="28"/>
              </w:rPr>
              <w:t>йо</w:t>
            </w:r>
            <w:proofErr w:type="spellEnd"/>
            <w:r w:rsidR="00881E53" w:rsidRPr="006577DE">
              <w:rPr>
                <w:sz w:val="28"/>
                <w:szCs w:val="28"/>
              </w:rPr>
              <w:t xml:space="preserve"> </w:t>
            </w:r>
            <w:proofErr w:type="spellStart"/>
            <w:r w:rsidR="00881E53" w:rsidRPr="006577DE">
              <w:rPr>
                <w:sz w:val="28"/>
                <w:szCs w:val="28"/>
              </w:rPr>
              <w:t>мленням</w:t>
            </w:r>
            <w:proofErr w:type="spellEnd"/>
            <w:r w:rsidR="00881E53" w:rsidRPr="006577DE">
              <w:rPr>
                <w:sz w:val="28"/>
                <w:szCs w:val="28"/>
              </w:rPr>
              <w:t xml:space="preserve"> </w:t>
            </w:r>
            <w:r w:rsidR="0077675A" w:rsidRPr="006577DE">
              <w:rPr>
                <w:sz w:val="28"/>
                <w:szCs w:val="28"/>
              </w:rPr>
              <w:t xml:space="preserve"> </w:t>
            </w:r>
            <w:r w:rsidR="00881E53" w:rsidRPr="006577DE">
              <w:rPr>
                <w:sz w:val="28"/>
                <w:szCs w:val="28"/>
              </w:rPr>
              <w:t>з регуля</w:t>
            </w:r>
            <w:r w:rsidR="0077675A" w:rsidRPr="006577DE">
              <w:rPr>
                <w:sz w:val="28"/>
                <w:szCs w:val="28"/>
              </w:rPr>
              <w:t>тор</w:t>
            </w:r>
            <w:r w:rsidR="00F50C54" w:rsidRPr="006577DE">
              <w:rPr>
                <w:sz w:val="28"/>
                <w:szCs w:val="28"/>
              </w:rPr>
              <w:t>ним</w:t>
            </w:r>
          </w:p>
        </w:tc>
        <w:tc>
          <w:tcPr>
            <w:tcW w:w="941" w:type="pct"/>
            <w:hideMark/>
          </w:tcPr>
          <w:p w:rsidR="0041454E" w:rsidRPr="006577DE" w:rsidRDefault="0041454E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8,14</w:t>
            </w:r>
          </w:p>
        </w:tc>
        <w:tc>
          <w:tcPr>
            <w:tcW w:w="1015" w:type="pct"/>
            <w:hideMark/>
          </w:tcPr>
          <w:p w:rsidR="0041454E" w:rsidRPr="006577DE" w:rsidRDefault="0041454E" w:rsidP="0077675A">
            <w:pPr>
              <w:ind w:firstLine="43"/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  <w:r w:rsidR="004A1ED9" w:rsidRPr="006577DE">
              <w:rPr>
                <w:sz w:val="28"/>
                <w:szCs w:val="28"/>
              </w:rPr>
              <w:t xml:space="preserve"> </w:t>
            </w:r>
            <w:r w:rsidRPr="006577DE">
              <w:rPr>
                <w:sz w:val="28"/>
                <w:szCs w:val="28"/>
              </w:rPr>
              <w:t>(у</w:t>
            </w:r>
            <w:r w:rsidR="00881E53" w:rsidRPr="006577DE">
              <w:rPr>
                <w:sz w:val="28"/>
                <w:szCs w:val="28"/>
              </w:rPr>
              <w:t xml:space="preserve"> разі відсутності </w:t>
            </w:r>
          </w:p>
        </w:tc>
        <w:tc>
          <w:tcPr>
            <w:tcW w:w="943" w:type="pct"/>
            <w:gridSpan w:val="2"/>
            <w:hideMark/>
          </w:tcPr>
          <w:p w:rsidR="0041454E" w:rsidRPr="006577DE" w:rsidRDefault="0041454E" w:rsidP="0077675A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  <w:r w:rsidR="004A1ED9" w:rsidRPr="006577DE">
              <w:rPr>
                <w:sz w:val="28"/>
                <w:szCs w:val="28"/>
              </w:rPr>
              <w:t xml:space="preserve"> </w:t>
            </w:r>
            <w:r w:rsidRPr="006577DE">
              <w:rPr>
                <w:sz w:val="28"/>
                <w:szCs w:val="28"/>
              </w:rPr>
              <w:t>(</w:t>
            </w:r>
            <w:r w:rsidR="00881E53" w:rsidRPr="006577DE">
              <w:rPr>
                <w:sz w:val="28"/>
                <w:szCs w:val="28"/>
              </w:rPr>
              <w:t xml:space="preserve">у разі </w:t>
            </w:r>
          </w:p>
        </w:tc>
      </w:tr>
    </w:tbl>
    <w:p w:rsidR="0041454E" w:rsidRPr="006577DE" w:rsidRDefault="0041454E" w:rsidP="0077675A">
      <w:pPr>
        <w:tabs>
          <w:tab w:val="center" w:pos="4902"/>
          <w:tab w:val="left" w:pos="8233"/>
        </w:tabs>
        <w:ind w:firstLine="450"/>
        <w:jc w:val="right"/>
        <w:textAlignment w:val="baseline"/>
        <w:rPr>
          <w:b/>
          <w:sz w:val="28"/>
          <w:szCs w:val="28"/>
        </w:rPr>
      </w:pPr>
      <w:r w:rsidRPr="006577DE">
        <w:rPr>
          <w:b/>
          <w:sz w:val="28"/>
          <w:szCs w:val="28"/>
        </w:rPr>
        <w:lastRenderedPageBreak/>
        <w:tab/>
      </w:r>
      <w:r w:rsidR="00D130B5" w:rsidRPr="006577DE">
        <w:rPr>
          <w:i/>
        </w:rPr>
        <w:t>Продовження додатк</w:t>
      </w:r>
      <w:r w:rsidR="00F32ACE" w:rsidRPr="006577DE">
        <w:rPr>
          <w:i/>
        </w:rPr>
        <w:t>а</w:t>
      </w:r>
      <w:r w:rsidR="00D130B5" w:rsidRPr="006577DE">
        <w:rPr>
          <w:i/>
        </w:rPr>
        <w:t xml:space="preserve"> 1</w:t>
      </w:r>
    </w:p>
    <w:tbl>
      <w:tblPr>
        <w:tblW w:w="507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285"/>
        <w:gridCol w:w="1679"/>
        <w:gridCol w:w="1987"/>
        <w:gridCol w:w="8"/>
        <w:gridCol w:w="1838"/>
      </w:tblGrid>
      <w:tr w:rsidR="00D130B5" w:rsidRPr="006577DE" w:rsidTr="00F50C54">
        <w:trPr>
          <w:trHeight w:val="13"/>
        </w:trPr>
        <w:tc>
          <w:tcPr>
            <w:tcW w:w="506" w:type="pct"/>
          </w:tcPr>
          <w:p w:rsidR="00D130B5" w:rsidRPr="006577DE" w:rsidRDefault="00FF32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1</w:t>
            </w:r>
          </w:p>
        </w:tc>
        <w:tc>
          <w:tcPr>
            <w:tcW w:w="1678" w:type="pct"/>
          </w:tcPr>
          <w:p w:rsidR="00D130B5" w:rsidRPr="006577DE" w:rsidRDefault="00FF321B" w:rsidP="006714A1">
            <w:pPr>
              <w:jc w:val="both"/>
              <w:rPr>
                <w:i/>
              </w:rPr>
            </w:pPr>
            <w:r w:rsidRPr="006577DE">
              <w:rPr>
                <w:i/>
              </w:rPr>
              <w:t>2</w:t>
            </w:r>
          </w:p>
        </w:tc>
        <w:tc>
          <w:tcPr>
            <w:tcW w:w="858" w:type="pct"/>
          </w:tcPr>
          <w:p w:rsidR="00D130B5" w:rsidRPr="006577DE" w:rsidRDefault="00FF32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3</w:t>
            </w:r>
          </w:p>
        </w:tc>
        <w:tc>
          <w:tcPr>
            <w:tcW w:w="1015" w:type="pct"/>
          </w:tcPr>
          <w:p w:rsidR="00D130B5" w:rsidRPr="006577DE" w:rsidRDefault="00FF321B" w:rsidP="006714A1">
            <w:pPr>
              <w:ind w:firstLine="43"/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4</w:t>
            </w:r>
          </w:p>
        </w:tc>
        <w:tc>
          <w:tcPr>
            <w:tcW w:w="943" w:type="pct"/>
            <w:gridSpan w:val="2"/>
          </w:tcPr>
          <w:p w:rsidR="00D130B5" w:rsidRPr="006577DE" w:rsidRDefault="00FF321B" w:rsidP="006714A1">
            <w:pPr>
              <w:jc w:val="center"/>
              <w:textAlignment w:val="baseline"/>
              <w:rPr>
                <w:i/>
              </w:rPr>
            </w:pPr>
            <w:r w:rsidRPr="006577DE">
              <w:rPr>
                <w:i/>
              </w:rPr>
              <w:t>5</w:t>
            </w:r>
          </w:p>
        </w:tc>
      </w:tr>
      <w:tr w:rsidR="00D130B5" w:rsidRPr="006577DE" w:rsidTr="00F32ACE">
        <w:trPr>
          <w:trHeight w:val="1697"/>
        </w:trPr>
        <w:tc>
          <w:tcPr>
            <w:tcW w:w="506" w:type="pct"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77675A" w:rsidRPr="006577DE" w:rsidRDefault="0077675A" w:rsidP="0077675A">
            <w:pPr>
              <w:jc w:val="both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актом, грн.</w:t>
            </w:r>
          </w:p>
          <w:p w:rsidR="00D130B5" w:rsidRPr="006577DE" w:rsidRDefault="00D130B5" w:rsidP="00F50C54">
            <w:pPr>
              <w:jc w:val="both"/>
              <w:rPr>
                <w:sz w:val="28"/>
                <w:szCs w:val="28"/>
              </w:rPr>
            </w:pPr>
            <w:r w:rsidRPr="006577DE">
              <w:rPr>
                <w:i/>
                <w:sz w:val="28"/>
                <w:szCs w:val="28"/>
              </w:rPr>
              <w:t>0,35 год. (21 хв.) х</w:t>
            </w:r>
            <w:r w:rsidR="00FF321B" w:rsidRPr="006577DE">
              <w:rPr>
                <w:i/>
                <w:sz w:val="28"/>
                <w:szCs w:val="28"/>
              </w:rPr>
              <w:t xml:space="preserve"> </w:t>
            </w:r>
            <w:r w:rsidR="0077675A" w:rsidRPr="006577DE">
              <w:rPr>
                <w:i/>
                <w:sz w:val="28"/>
                <w:szCs w:val="28"/>
              </w:rPr>
              <w:t xml:space="preserve">                  </w:t>
            </w:r>
            <w:r w:rsidRPr="006577DE">
              <w:rPr>
                <w:i/>
                <w:sz w:val="28"/>
                <w:szCs w:val="28"/>
              </w:rPr>
              <w:t xml:space="preserve">3 723,00 грн. (мінімальна заробітна плата) : 160 год. на місяць = </w:t>
            </w:r>
            <w:r w:rsidR="0077675A" w:rsidRPr="006577DE">
              <w:rPr>
                <w:i/>
                <w:sz w:val="28"/>
                <w:szCs w:val="28"/>
              </w:rPr>
              <w:t xml:space="preserve"> </w:t>
            </w:r>
            <w:r w:rsidRPr="006577DE">
              <w:rPr>
                <w:i/>
                <w:sz w:val="28"/>
                <w:szCs w:val="28"/>
              </w:rPr>
              <w:t>8,14 грн.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D130B5" w:rsidRPr="006577DE" w:rsidRDefault="0077675A" w:rsidP="006714A1">
            <w:pPr>
              <w:ind w:firstLine="43"/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змін у </w:t>
            </w:r>
            <w:r w:rsidR="00D130B5" w:rsidRPr="006577DE">
              <w:rPr>
                <w:sz w:val="28"/>
                <w:szCs w:val="28"/>
              </w:rPr>
              <w:t>нормативних актах України)</w:t>
            </w: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</w:tcPr>
          <w:p w:rsidR="00D130B5" w:rsidRPr="006577DE" w:rsidRDefault="0077675A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відсутності </w:t>
            </w:r>
            <w:r w:rsidR="00D130B5" w:rsidRPr="006577DE">
              <w:rPr>
                <w:sz w:val="28"/>
                <w:szCs w:val="28"/>
              </w:rPr>
              <w:t>змін у нормативних актах України)</w:t>
            </w:r>
          </w:p>
        </w:tc>
      </w:tr>
      <w:tr w:rsidR="00D130B5" w:rsidRPr="006577DE" w:rsidTr="00F50C54">
        <w:trPr>
          <w:trHeight w:val="2254"/>
        </w:trPr>
        <w:tc>
          <w:tcPr>
            <w:tcW w:w="506" w:type="pct"/>
            <w:vMerge w:val="restar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10</w:t>
            </w:r>
          </w:p>
        </w:tc>
        <w:tc>
          <w:tcPr>
            <w:tcW w:w="1678" w:type="pct"/>
            <w:tcBorders>
              <w:bottom w:val="nil"/>
            </w:tcBorders>
            <w:vAlign w:val="center"/>
          </w:tcPr>
          <w:p w:rsidR="00D130B5" w:rsidRPr="006577DE" w:rsidRDefault="00D130B5" w:rsidP="006714A1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Процедури організації виконання вимог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регу-лювання</w:t>
            </w:r>
            <w:proofErr w:type="spellEnd"/>
          </w:p>
          <w:p w:rsidR="00602363" w:rsidRPr="006577DE" w:rsidRDefault="00D130B5" w:rsidP="00F50C54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(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Для виконання зазначених умов регулювання суб’єкту господарювання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знадо</w:t>
            </w:r>
            <w:r w:rsidR="00F50C54" w:rsidRPr="006577DE">
              <w:rPr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i/>
                <w:sz w:val="28"/>
                <w:szCs w:val="28"/>
                <w:lang w:val="uk-UA"/>
              </w:rPr>
              <w:t>биться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 xml:space="preserve"> не більше 10 аркушів офісного паперу форматом А4), грн.</w:t>
            </w:r>
          </w:p>
        </w:tc>
        <w:tc>
          <w:tcPr>
            <w:tcW w:w="858" w:type="pct"/>
            <w:tcBorders>
              <w:bottom w:val="nil"/>
            </w:tcBorders>
          </w:tcPr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2,06</w:t>
            </w:r>
            <w:r w:rsidR="00602363" w:rsidRPr="006577DE">
              <w:rPr>
                <w:sz w:val="28"/>
                <w:szCs w:val="28"/>
              </w:rPr>
              <w:t>,</w:t>
            </w:r>
          </w:p>
        </w:tc>
        <w:tc>
          <w:tcPr>
            <w:tcW w:w="1015" w:type="pct"/>
            <w:tcBorders>
              <w:bottom w:val="nil"/>
            </w:tcBorders>
          </w:tcPr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  <w:tcBorders>
              <w:bottom w:val="nil"/>
            </w:tcBorders>
          </w:tcPr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A3371A" w:rsidRPr="006577DE" w:rsidRDefault="00A3371A" w:rsidP="006714A1">
            <w:pPr>
              <w:jc w:val="center"/>
              <w:rPr>
                <w:sz w:val="28"/>
                <w:szCs w:val="28"/>
              </w:rPr>
            </w:pPr>
          </w:p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10,3</w:t>
            </w:r>
            <w:r w:rsidR="00602363" w:rsidRPr="006577DE">
              <w:rPr>
                <w:sz w:val="28"/>
                <w:szCs w:val="28"/>
              </w:rPr>
              <w:t>,</w:t>
            </w:r>
          </w:p>
        </w:tc>
      </w:tr>
      <w:tr w:rsidR="00D130B5" w:rsidRPr="006577DE" w:rsidTr="00F32ACE">
        <w:trPr>
          <w:trHeight w:val="2838"/>
        </w:trPr>
        <w:tc>
          <w:tcPr>
            <w:tcW w:w="506" w:type="pct"/>
            <w:vMerge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8" w:type="pct"/>
            <w:tcBorders>
              <w:top w:val="nil"/>
            </w:tcBorders>
            <w:vAlign w:val="center"/>
          </w:tcPr>
          <w:p w:rsidR="00D130B5" w:rsidRPr="006577DE" w:rsidRDefault="00D130B5" w:rsidP="00F32ACE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 xml:space="preserve">Для виконання зазначених умов регулювання суб’єкту господарювання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знадо</w:t>
            </w:r>
            <w:r w:rsidR="00F50C54" w:rsidRPr="006577DE">
              <w:rPr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i/>
                <w:sz w:val="28"/>
                <w:szCs w:val="28"/>
                <w:lang w:val="uk-UA"/>
              </w:rPr>
              <w:t>биться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 xml:space="preserve"> не більше годин</w:t>
            </w:r>
            <w:r w:rsidR="00602363" w:rsidRPr="006577DE">
              <w:rPr>
                <w:i/>
                <w:sz w:val="28"/>
                <w:szCs w:val="28"/>
                <w:lang w:val="uk-UA"/>
              </w:rPr>
              <w:t>и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 робочого часу</w:t>
            </w:r>
            <w:r w:rsidR="00F32ACE" w:rsidRPr="006577D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577DE">
              <w:rPr>
                <w:i/>
                <w:sz w:val="28"/>
                <w:szCs w:val="28"/>
                <w:lang w:val="uk-UA"/>
              </w:rPr>
              <w:t>– 1 год. х</w:t>
            </w:r>
            <w:r w:rsidR="00F32ACE" w:rsidRPr="006577DE"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Pr="006577DE">
              <w:rPr>
                <w:i/>
                <w:sz w:val="28"/>
                <w:szCs w:val="28"/>
                <w:lang w:val="uk-UA"/>
              </w:rPr>
              <w:t xml:space="preserve"> 3 723,00 грн. (мінімальна заробітна плата) : 160 год. на місяць = 23,27 грн.)</w:t>
            </w:r>
          </w:p>
        </w:tc>
        <w:tc>
          <w:tcPr>
            <w:tcW w:w="858" w:type="pct"/>
            <w:tcBorders>
              <w:top w:val="nil"/>
            </w:tcBorders>
          </w:tcPr>
          <w:p w:rsidR="00F50C54" w:rsidRPr="006577DE" w:rsidRDefault="00F50C54" w:rsidP="006714A1">
            <w:pPr>
              <w:jc w:val="center"/>
              <w:rPr>
                <w:sz w:val="28"/>
                <w:szCs w:val="28"/>
              </w:rPr>
            </w:pPr>
          </w:p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23,27</w:t>
            </w:r>
            <w:r w:rsidR="00602363" w:rsidRPr="006577DE">
              <w:rPr>
                <w:sz w:val="28"/>
                <w:szCs w:val="28"/>
              </w:rPr>
              <w:t>,</w:t>
            </w:r>
          </w:p>
        </w:tc>
        <w:tc>
          <w:tcPr>
            <w:tcW w:w="1015" w:type="pct"/>
            <w:tcBorders>
              <w:top w:val="nil"/>
            </w:tcBorders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nil"/>
            </w:tcBorders>
          </w:tcPr>
          <w:p w:rsidR="00F50C54" w:rsidRPr="006577DE" w:rsidRDefault="00F50C54" w:rsidP="006714A1">
            <w:pPr>
              <w:jc w:val="center"/>
              <w:rPr>
                <w:sz w:val="28"/>
                <w:szCs w:val="28"/>
              </w:rPr>
            </w:pPr>
          </w:p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116,34</w:t>
            </w:r>
          </w:p>
        </w:tc>
      </w:tr>
      <w:tr w:rsidR="00D130B5" w:rsidRPr="006577DE" w:rsidTr="00F50C54">
        <w:trPr>
          <w:trHeight w:val="1314"/>
        </w:trPr>
        <w:tc>
          <w:tcPr>
            <w:tcW w:w="506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11</w:t>
            </w:r>
          </w:p>
        </w:tc>
        <w:tc>
          <w:tcPr>
            <w:tcW w:w="1678" w:type="pct"/>
          </w:tcPr>
          <w:p w:rsidR="00D130B5" w:rsidRPr="006577DE" w:rsidRDefault="00D130B5" w:rsidP="006714A1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Процедури офіційного звітування</w:t>
            </w:r>
          </w:p>
          <w:p w:rsidR="00D130B5" w:rsidRPr="006577DE" w:rsidRDefault="00D130B5" w:rsidP="006714A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pct"/>
            <w:gridSpan w:val="4"/>
          </w:tcPr>
          <w:p w:rsidR="00D130B5" w:rsidRPr="006577DE" w:rsidRDefault="00D130B5" w:rsidP="00F32ACE">
            <w:pPr>
              <w:jc w:val="both"/>
              <w:rPr>
                <w:sz w:val="28"/>
                <w:szCs w:val="28"/>
              </w:rPr>
            </w:pPr>
            <w:r w:rsidRPr="006577DE">
              <w:rPr>
                <w:i/>
                <w:sz w:val="28"/>
                <w:szCs w:val="28"/>
              </w:rPr>
              <w:t xml:space="preserve">Спрогнозувати неможливо, оскільки </w:t>
            </w:r>
            <w:proofErr w:type="spellStart"/>
            <w:r w:rsidRPr="006577DE">
              <w:rPr>
                <w:i/>
                <w:sz w:val="28"/>
                <w:szCs w:val="28"/>
              </w:rPr>
              <w:t>урегу</w:t>
            </w:r>
            <w:r w:rsidR="003354F8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льовуватиметься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індивідуальними умо</w:t>
            </w:r>
            <w:r w:rsidR="00881E53" w:rsidRPr="006577DE">
              <w:rPr>
                <w:i/>
                <w:sz w:val="28"/>
                <w:szCs w:val="28"/>
              </w:rPr>
              <w:t xml:space="preserve">вами </w:t>
            </w:r>
            <w:r w:rsidR="00F32ACE" w:rsidRPr="006577DE">
              <w:rPr>
                <w:i/>
                <w:sz w:val="28"/>
                <w:szCs w:val="28"/>
              </w:rPr>
              <w:t>д</w:t>
            </w:r>
            <w:r w:rsidR="00881E53" w:rsidRPr="006577DE">
              <w:rPr>
                <w:i/>
                <w:sz w:val="28"/>
                <w:szCs w:val="28"/>
              </w:rPr>
              <w:t>оговору</w:t>
            </w:r>
            <w:r w:rsidRPr="006577DE">
              <w:rPr>
                <w:i/>
                <w:sz w:val="28"/>
                <w:szCs w:val="28"/>
              </w:rPr>
              <w:t xml:space="preserve"> в залежності від виду діяльності суб’єктів господарювання</w:t>
            </w:r>
          </w:p>
        </w:tc>
      </w:tr>
      <w:tr w:rsidR="00D130B5" w:rsidRPr="006577DE" w:rsidTr="00F50C54">
        <w:trPr>
          <w:trHeight w:val="1138"/>
        </w:trPr>
        <w:tc>
          <w:tcPr>
            <w:tcW w:w="506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12</w:t>
            </w:r>
          </w:p>
        </w:tc>
        <w:tc>
          <w:tcPr>
            <w:tcW w:w="1678" w:type="pct"/>
            <w:vAlign w:val="center"/>
          </w:tcPr>
          <w:p w:rsidR="00D130B5" w:rsidRPr="006577DE" w:rsidRDefault="00D130B5" w:rsidP="006714A1">
            <w:pPr>
              <w:pStyle w:val="p6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Процедури щодо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забез-печення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процесу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переві-рок</w:t>
            </w:r>
            <w:proofErr w:type="spellEnd"/>
          </w:p>
        </w:tc>
        <w:tc>
          <w:tcPr>
            <w:tcW w:w="858" w:type="pct"/>
          </w:tcPr>
          <w:p w:rsidR="00D130B5" w:rsidRPr="006577DE" w:rsidRDefault="00D130B5" w:rsidP="006714A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5" w:type="pct"/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D130B5" w:rsidRPr="006577DE" w:rsidTr="00F50C54">
        <w:trPr>
          <w:trHeight w:val="1152"/>
        </w:trPr>
        <w:tc>
          <w:tcPr>
            <w:tcW w:w="506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13</w:t>
            </w:r>
          </w:p>
        </w:tc>
        <w:tc>
          <w:tcPr>
            <w:tcW w:w="1678" w:type="pct"/>
          </w:tcPr>
          <w:p w:rsidR="00D130B5" w:rsidRPr="006577DE" w:rsidRDefault="00D130B5" w:rsidP="006714A1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Інші процедури (</w:t>
            </w:r>
            <w:proofErr w:type="spellStart"/>
            <w:r w:rsidRPr="006577DE">
              <w:rPr>
                <w:sz w:val="28"/>
                <w:szCs w:val="28"/>
              </w:rPr>
              <w:t>уточ-нити</w:t>
            </w:r>
            <w:proofErr w:type="spellEnd"/>
            <w:r w:rsidRPr="006577DE">
              <w:rPr>
                <w:sz w:val="28"/>
                <w:szCs w:val="28"/>
              </w:rPr>
              <w:t>)</w:t>
            </w:r>
          </w:p>
        </w:tc>
        <w:tc>
          <w:tcPr>
            <w:tcW w:w="858" w:type="pct"/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015" w:type="pct"/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943" w:type="pct"/>
            <w:gridSpan w:val="2"/>
          </w:tcPr>
          <w:p w:rsidR="00D130B5" w:rsidRPr="006577DE" w:rsidRDefault="00D130B5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D130B5" w:rsidRPr="006577DE" w:rsidTr="00F50C54">
        <w:trPr>
          <w:trHeight w:val="360"/>
        </w:trPr>
        <w:tc>
          <w:tcPr>
            <w:tcW w:w="506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14</w:t>
            </w:r>
          </w:p>
        </w:tc>
        <w:tc>
          <w:tcPr>
            <w:tcW w:w="1678" w:type="pct"/>
            <w:hideMark/>
          </w:tcPr>
          <w:p w:rsidR="00D130B5" w:rsidRPr="006577DE" w:rsidRDefault="00D130B5" w:rsidP="00881E53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Разом, </w:t>
            </w:r>
            <w:r w:rsidR="00881E53" w:rsidRPr="006577DE">
              <w:rPr>
                <w:sz w:val="28"/>
                <w:szCs w:val="28"/>
              </w:rPr>
              <w:t xml:space="preserve">грн. </w:t>
            </w:r>
          </w:p>
        </w:tc>
        <w:tc>
          <w:tcPr>
            <w:tcW w:w="858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33,47</w:t>
            </w:r>
          </w:p>
        </w:tc>
        <w:tc>
          <w:tcPr>
            <w:tcW w:w="1015" w:type="pct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Х</w:t>
            </w:r>
          </w:p>
        </w:tc>
        <w:tc>
          <w:tcPr>
            <w:tcW w:w="943" w:type="pct"/>
            <w:gridSpan w:val="2"/>
            <w:hideMark/>
          </w:tcPr>
          <w:p w:rsidR="00D130B5" w:rsidRPr="006577DE" w:rsidRDefault="00D130B5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126,64</w:t>
            </w:r>
          </w:p>
        </w:tc>
      </w:tr>
      <w:tr w:rsidR="00F50C54" w:rsidRPr="006577DE" w:rsidTr="00F50C54">
        <w:trPr>
          <w:trHeight w:val="360"/>
        </w:trPr>
        <w:tc>
          <w:tcPr>
            <w:tcW w:w="506" w:type="pct"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15</w:t>
            </w:r>
          </w:p>
        </w:tc>
        <w:tc>
          <w:tcPr>
            <w:tcW w:w="1678" w:type="pct"/>
          </w:tcPr>
          <w:p w:rsidR="00F50C54" w:rsidRPr="006577DE" w:rsidRDefault="00F50C54" w:rsidP="00881E53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Кількість суб’єктів </w:t>
            </w:r>
            <w:proofErr w:type="spellStart"/>
            <w:r w:rsidRPr="006577DE">
              <w:rPr>
                <w:sz w:val="28"/>
                <w:szCs w:val="28"/>
              </w:rPr>
              <w:t>ве-ликого</w:t>
            </w:r>
            <w:proofErr w:type="spellEnd"/>
            <w:r w:rsidRPr="006577DE">
              <w:rPr>
                <w:sz w:val="28"/>
                <w:szCs w:val="28"/>
              </w:rPr>
              <w:t xml:space="preserve"> й середнього підприємництва, що по винні виконати вимоги регулювання, одиниць</w:t>
            </w:r>
          </w:p>
        </w:tc>
        <w:tc>
          <w:tcPr>
            <w:tcW w:w="2816" w:type="pct"/>
            <w:gridSpan w:val="4"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180</w:t>
            </w:r>
          </w:p>
        </w:tc>
      </w:tr>
      <w:tr w:rsidR="00F50C54" w:rsidRPr="006577DE" w:rsidTr="00F32ACE">
        <w:trPr>
          <w:trHeight w:val="368"/>
        </w:trPr>
        <w:tc>
          <w:tcPr>
            <w:tcW w:w="506" w:type="pct"/>
            <w:hideMark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16</w:t>
            </w:r>
          </w:p>
        </w:tc>
        <w:tc>
          <w:tcPr>
            <w:tcW w:w="1678" w:type="pct"/>
            <w:hideMark/>
          </w:tcPr>
          <w:p w:rsidR="00F50C54" w:rsidRPr="006577DE" w:rsidRDefault="00F50C54" w:rsidP="00F32ACE">
            <w:pPr>
              <w:jc w:val="both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Сумарно, </w:t>
            </w:r>
            <w:r w:rsidR="00F32ACE" w:rsidRPr="006577DE">
              <w:rPr>
                <w:sz w:val="28"/>
                <w:szCs w:val="28"/>
              </w:rPr>
              <w:t xml:space="preserve">грн. </w:t>
            </w:r>
          </w:p>
        </w:tc>
        <w:tc>
          <w:tcPr>
            <w:tcW w:w="858" w:type="pct"/>
            <w:hideMark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6 024,60</w:t>
            </w:r>
          </w:p>
        </w:tc>
        <w:tc>
          <w:tcPr>
            <w:tcW w:w="1019" w:type="pct"/>
            <w:gridSpan w:val="2"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Х</w:t>
            </w:r>
          </w:p>
        </w:tc>
        <w:tc>
          <w:tcPr>
            <w:tcW w:w="939" w:type="pct"/>
          </w:tcPr>
          <w:p w:rsidR="00F50C54" w:rsidRPr="006577DE" w:rsidRDefault="00F50C54" w:rsidP="006714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22 795,20</w:t>
            </w:r>
          </w:p>
        </w:tc>
      </w:tr>
    </w:tbl>
    <w:p w:rsidR="00F50C54" w:rsidRPr="006577DE" w:rsidRDefault="00F50C54" w:rsidP="00881E53">
      <w:pPr>
        <w:tabs>
          <w:tab w:val="center" w:pos="4902"/>
          <w:tab w:val="left" w:pos="8233"/>
        </w:tabs>
        <w:ind w:firstLine="450"/>
        <w:jc w:val="right"/>
        <w:textAlignment w:val="baseline"/>
        <w:rPr>
          <w:i/>
        </w:rPr>
      </w:pPr>
    </w:p>
    <w:p w:rsidR="00881E53" w:rsidRPr="006577DE" w:rsidRDefault="00881E53" w:rsidP="00881E53">
      <w:pPr>
        <w:tabs>
          <w:tab w:val="center" w:pos="4902"/>
          <w:tab w:val="left" w:pos="8233"/>
        </w:tabs>
        <w:ind w:firstLine="450"/>
        <w:jc w:val="right"/>
        <w:textAlignment w:val="baseline"/>
        <w:rPr>
          <w:b/>
          <w:sz w:val="28"/>
          <w:szCs w:val="28"/>
        </w:rPr>
      </w:pPr>
      <w:r w:rsidRPr="006577DE">
        <w:rPr>
          <w:i/>
        </w:rPr>
        <w:lastRenderedPageBreak/>
        <w:t>Продовження додатк</w:t>
      </w:r>
      <w:r w:rsidR="00F32ACE" w:rsidRPr="006577DE">
        <w:rPr>
          <w:i/>
        </w:rPr>
        <w:t>а</w:t>
      </w:r>
      <w:r w:rsidRPr="006577DE">
        <w:rPr>
          <w:i/>
        </w:rPr>
        <w:t xml:space="preserve"> 1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4703"/>
      </w:tblGrid>
      <w:tr w:rsidR="0077675A" w:rsidRPr="006577DE" w:rsidTr="0077675A">
        <w:trPr>
          <w:trHeight w:val="995"/>
        </w:trPr>
        <w:tc>
          <w:tcPr>
            <w:tcW w:w="2596" w:type="pct"/>
            <w:shd w:val="clear" w:color="auto" w:fill="auto"/>
          </w:tcPr>
          <w:p w:rsidR="0077675A" w:rsidRPr="006577DE" w:rsidRDefault="0077675A" w:rsidP="006714A1">
            <w:pPr>
              <w:jc w:val="center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Сумарні витрати за альтернативами на суб’єктів господарювання великого й середнього підприємництва</w:t>
            </w:r>
          </w:p>
        </w:tc>
        <w:tc>
          <w:tcPr>
            <w:tcW w:w="2404" w:type="pct"/>
            <w:shd w:val="clear" w:color="auto" w:fill="auto"/>
          </w:tcPr>
          <w:p w:rsidR="0077675A" w:rsidRPr="006577DE" w:rsidRDefault="0077675A" w:rsidP="006714A1">
            <w:pPr>
              <w:jc w:val="center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 xml:space="preserve">Сума витрат </w:t>
            </w:r>
          </w:p>
          <w:p w:rsidR="0077675A" w:rsidRPr="006577DE" w:rsidRDefault="0077675A" w:rsidP="006714A1">
            <w:pPr>
              <w:jc w:val="center"/>
              <w:rPr>
                <w:b/>
                <w:i/>
                <w:sz w:val="28"/>
                <w:szCs w:val="28"/>
              </w:rPr>
            </w:pPr>
            <w:r w:rsidRPr="006577DE">
              <w:rPr>
                <w:b/>
                <w:i/>
                <w:sz w:val="28"/>
                <w:szCs w:val="28"/>
              </w:rPr>
              <w:t>грн./рік</w:t>
            </w:r>
          </w:p>
        </w:tc>
      </w:tr>
      <w:tr w:rsidR="0077675A" w:rsidRPr="006577DE" w:rsidTr="0077675A">
        <w:tc>
          <w:tcPr>
            <w:tcW w:w="2596" w:type="pct"/>
            <w:shd w:val="clear" w:color="auto" w:fill="auto"/>
          </w:tcPr>
          <w:p w:rsidR="0077675A" w:rsidRPr="006577DE" w:rsidRDefault="0077675A" w:rsidP="006714A1">
            <w:pPr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 xml:space="preserve">Альтернатива 1: </w:t>
            </w:r>
          </w:p>
          <w:p w:rsidR="0077675A" w:rsidRPr="006577DE" w:rsidRDefault="0077675A" w:rsidP="006714A1">
            <w:pPr>
              <w:tabs>
                <w:tab w:val="left" w:pos="928"/>
              </w:tabs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Відсутність регулювання (залишення наявної на даний момент ситуації без змін)</w:t>
            </w:r>
          </w:p>
        </w:tc>
        <w:tc>
          <w:tcPr>
            <w:tcW w:w="2404" w:type="pct"/>
            <w:shd w:val="clear" w:color="auto" w:fill="auto"/>
          </w:tcPr>
          <w:p w:rsidR="0077675A" w:rsidRPr="006577DE" w:rsidRDefault="0077675A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7 206 024,60</w:t>
            </w:r>
          </w:p>
          <w:p w:rsidR="0077675A" w:rsidRPr="006577DE" w:rsidRDefault="0077675A" w:rsidP="0077675A">
            <w:pPr>
              <w:jc w:val="both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  <w:shd w:val="clear" w:color="auto" w:fill="FFFFFF"/>
              </w:rPr>
              <w:t>Цілі прийняття регуляторного акта  можуть бути досягнуті частково (проблема значно зменшиться, деякі важливі та критичні її аспекти залишаться невирішеними)</w:t>
            </w:r>
          </w:p>
        </w:tc>
      </w:tr>
      <w:tr w:rsidR="0077675A" w:rsidRPr="006577DE" w:rsidTr="0077675A">
        <w:trPr>
          <w:trHeight w:val="1113"/>
        </w:trPr>
        <w:tc>
          <w:tcPr>
            <w:tcW w:w="2596" w:type="pct"/>
            <w:shd w:val="clear" w:color="auto" w:fill="auto"/>
          </w:tcPr>
          <w:p w:rsidR="0077675A" w:rsidRPr="006577DE" w:rsidRDefault="0077675A" w:rsidP="006714A1">
            <w:pPr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Альтернатива 2:</w:t>
            </w:r>
          </w:p>
          <w:p w:rsidR="0077675A" w:rsidRPr="006577DE" w:rsidRDefault="0077675A" w:rsidP="006714A1">
            <w:pPr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Прийняття регуляторного акта</w:t>
            </w:r>
          </w:p>
        </w:tc>
        <w:tc>
          <w:tcPr>
            <w:tcW w:w="2404" w:type="pct"/>
            <w:shd w:val="clear" w:color="auto" w:fill="auto"/>
          </w:tcPr>
          <w:p w:rsidR="0077675A" w:rsidRPr="006577DE" w:rsidRDefault="0077675A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7 206 024,60</w:t>
            </w:r>
          </w:p>
          <w:p w:rsidR="0077675A" w:rsidRPr="006577DE" w:rsidRDefault="0077675A" w:rsidP="0077675A">
            <w:pPr>
              <w:jc w:val="both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  <w:shd w:val="clear" w:color="auto" w:fill="FFFFFF"/>
              </w:rPr>
              <w:t>Цілі прийняття регуляторного акта  можуть бути досягнуті повною мірою (проблеми більше не буде)</w:t>
            </w:r>
          </w:p>
        </w:tc>
      </w:tr>
    </w:tbl>
    <w:p w:rsidR="0077675A" w:rsidRPr="006577DE" w:rsidRDefault="0077675A" w:rsidP="0041454E">
      <w:pPr>
        <w:tabs>
          <w:tab w:val="center" w:pos="4902"/>
          <w:tab w:val="left" w:pos="8233"/>
        </w:tabs>
        <w:ind w:firstLine="450"/>
        <w:jc w:val="both"/>
        <w:textAlignment w:val="baseline"/>
        <w:rPr>
          <w:b/>
          <w:sz w:val="28"/>
          <w:szCs w:val="28"/>
        </w:rPr>
      </w:pPr>
    </w:p>
    <w:p w:rsidR="0041454E" w:rsidRPr="006577DE" w:rsidRDefault="0041454E" w:rsidP="00145C9C">
      <w:pPr>
        <w:tabs>
          <w:tab w:val="center" w:pos="4902"/>
          <w:tab w:val="left" w:pos="8233"/>
        </w:tabs>
        <w:ind w:firstLine="567"/>
        <w:jc w:val="both"/>
        <w:textAlignment w:val="baseline"/>
        <w:rPr>
          <w:rStyle w:val="s2"/>
          <w:rFonts w:eastAsia="Batang"/>
          <w:sz w:val="28"/>
          <w:szCs w:val="28"/>
        </w:rPr>
      </w:pPr>
      <w:r w:rsidRPr="006577DE">
        <w:rPr>
          <w:rStyle w:val="s2"/>
          <w:rFonts w:eastAsia="Batang"/>
          <w:sz w:val="28"/>
          <w:szCs w:val="28"/>
        </w:rPr>
        <w:t>Вартість витрат, пов’язаних з реалізацією процесу регулювання к</w:t>
      </w:r>
      <w:r w:rsidRPr="006577DE">
        <w:rPr>
          <w:sz w:val="28"/>
          <w:szCs w:val="28"/>
        </w:rPr>
        <w:t>омунальним підприємством «</w:t>
      </w:r>
      <w:proofErr w:type="spellStart"/>
      <w:r w:rsidRPr="006577DE">
        <w:rPr>
          <w:sz w:val="28"/>
          <w:szCs w:val="28"/>
        </w:rPr>
        <w:t>Кривбасводоканал</w:t>
      </w:r>
      <w:proofErr w:type="spellEnd"/>
      <w:r w:rsidRPr="006577DE">
        <w:rPr>
          <w:sz w:val="28"/>
          <w:szCs w:val="28"/>
        </w:rPr>
        <w:t>»</w:t>
      </w:r>
      <w:r w:rsidRPr="006577DE">
        <w:rPr>
          <w:rStyle w:val="s2"/>
          <w:rFonts w:eastAsia="Batang"/>
          <w:sz w:val="28"/>
          <w:szCs w:val="28"/>
        </w:rPr>
        <w:t>, визначається шляхом множення фактичних витрат часу персоналу на усередн</w:t>
      </w:r>
      <w:r w:rsidR="00597732" w:rsidRPr="006577DE">
        <w:rPr>
          <w:rStyle w:val="s2"/>
          <w:rFonts w:eastAsia="Batang"/>
          <w:sz w:val="28"/>
          <w:szCs w:val="28"/>
        </w:rPr>
        <w:t>ену заробітну плату працівника комунального підприємства</w:t>
      </w:r>
      <w:r w:rsidRPr="006577DE">
        <w:rPr>
          <w:rStyle w:val="s2"/>
          <w:rFonts w:eastAsia="Batang"/>
          <w:sz w:val="28"/>
          <w:szCs w:val="28"/>
        </w:rPr>
        <w:t xml:space="preserve"> «</w:t>
      </w:r>
      <w:proofErr w:type="spellStart"/>
      <w:r w:rsidRPr="006577DE">
        <w:rPr>
          <w:rStyle w:val="s2"/>
          <w:rFonts w:eastAsia="Batang"/>
          <w:sz w:val="28"/>
          <w:szCs w:val="28"/>
        </w:rPr>
        <w:t>Кривбасводоканал</w:t>
      </w:r>
      <w:proofErr w:type="spellEnd"/>
      <w:r w:rsidRPr="006577DE">
        <w:rPr>
          <w:rStyle w:val="s2"/>
          <w:rFonts w:eastAsia="Batang"/>
          <w:sz w:val="28"/>
          <w:szCs w:val="28"/>
        </w:rPr>
        <w:t>»</w:t>
      </w:r>
      <w:r w:rsidR="00597732" w:rsidRPr="006577DE">
        <w:rPr>
          <w:rStyle w:val="s2"/>
          <w:rFonts w:eastAsia="Batang"/>
          <w:sz w:val="28"/>
          <w:szCs w:val="28"/>
        </w:rPr>
        <w:t>,</w:t>
      </w:r>
      <w:r w:rsidRPr="006577DE">
        <w:rPr>
          <w:rStyle w:val="s2"/>
          <w:rFonts w:eastAsia="Batang"/>
          <w:sz w:val="28"/>
          <w:szCs w:val="28"/>
        </w:rPr>
        <w:t xml:space="preserve"> на кількість суб’єктів, що підпадають під дію процедури регулювання, та на кількість процедур за рік.</w:t>
      </w:r>
    </w:p>
    <w:p w:rsidR="00145C9C" w:rsidRPr="006577DE" w:rsidRDefault="00145C9C" w:rsidP="00145C9C">
      <w:pPr>
        <w:tabs>
          <w:tab w:val="center" w:pos="4902"/>
          <w:tab w:val="left" w:pos="8233"/>
        </w:tabs>
        <w:ind w:firstLine="567"/>
        <w:jc w:val="both"/>
        <w:textAlignment w:val="baseline"/>
        <w:rPr>
          <w:b/>
          <w:sz w:val="28"/>
          <w:szCs w:val="28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6"/>
        <w:gridCol w:w="126"/>
        <w:gridCol w:w="1479"/>
        <w:gridCol w:w="1275"/>
        <w:gridCol w:w="1134"/>
        <w:gridCol w:w="1701"/>
      </w:tblGrid>
      <w:tr w:rsidR="0041454E" w:rsidRPr="006577DE" w:rsidTr="0059773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>Процедура регулювання суб’єктів підприємництва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>Планові витрати часу на процедуру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Вартість часу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спів</w:t>
            </w:r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робітника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комуналь</w:t>
            </w:r>
            <w:r w:rsidR="002A3C19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ного</w:t>
            </w:r>
            <w:proofErr w:type="spellEnd"/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підпри-ємства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Кривбасво</w:t>
            </w:r>
            <w:r w:rsidR="002A3C19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доканал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>(усереднена заробітна плата)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Оцінка кількості процедур за рік, що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припада</w:t>
            </w:r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ють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на одного суб’єкта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Оцінка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кілько</w:t>
            </w:r>
            <w:r w:rsidR="002A3C19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сті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суб’єк-тів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, що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підпада</w:t>
            </w:r>
            <w:r w:rsidR="00597732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ють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під дію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про-цедури</w:t>
            </w:r>
            <w:proofErr w:type="spellEnd"/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77DE">
              <w:rPr>
                <w:b/>
                <w:i/>
                <w:sz w:val="28"/>
                <w:szCs w:val="28"/>
                <w:lang w:val="uk-UA"/>
              </w:rPr>
              <w:t>регулю</w:t>
            </w:r>
            <w:r w:rsidR="00B00F79" w:rsidRPr="006577DE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6577DE">
              <w:rPr>
                <w:b/>
                <w:i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B00F79">
            <w:pPr>
              <w:pStyle w:val="p11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77DE">
              <w:rPr>
                <w:b/>
                <w:i/>
                <w:sz w:val="28"/>
                <w:szCs w:val="28"/>
                <w:lang w:val="uk-UA"/>
              </w:rPr>
              <w:t xml:space="preserve">Витрати на реалізацію процесу регулювання            (за рік), </w:t>
            </w:r>
            <w:r w:rsidR="00B00F79" w:rsidRPr="006577DE">
              <w:rPr>
                <w:b/>
                <w:i/>
                <w:sz w:val="28"/>
                <w:szCs w:val="28"/>
                <w:lang w:val="uk-UA"/>
              </w:rPr>
              <w:t>грн.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6</w:t>
            </w:r>
          </w:p>
        </w:tc>
      </w:tr>
      <w:tr w:rsidR="0041454E" w:rsidRPr="006577DE" w:rsidTr="00597732">
        <w:trPr>
          <w:trHeight w:val="25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1.Поточний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конт-роль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за суб’єктом господарювання, що перебуває у сфері регулювання, у тому числі:</w:t>
            </w:r>
          </w:p>
          <w:p w:rsidR="00597732" w:rsidRPr="006577DE" w:rsidRDefault="00597732" w:rsidP="002A3C19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577DE">
              <w:rPr>
                <w:sz w:val="28"/>
                <w:szCs w:val="28"/>
                <w:lang w:val="uk-UA"/>
              </w:rPr>
              <w:t>-виїзні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перевірки </w:t>
            </w:r>
            <w:r w:rsidRPr="006577DE">
              <w:rPr>
                <w:i/>
                <w:sz w:val="28"/>
                <w:szCs w:val="28"/>
                <w:lang w:val="uk-UA"/>
              </w:rPr>
              <w:t>(відбір контрольних</w:t>
            </w:r>
            <w:r w:rsidR="00145C9C" w:rsidRPr="006577DE">
              <w:rPr>
                <w:i/>
                <w:sz w:val="28"/>
                <w:szCs w:val="28"/>
                <w:lang w:val="uk-UA"/>
              </w:rPr>
              <w:t xml:space="preserve"> проб стічних вод та доставка їх</w:t>
            </w:r>
            <w:r w:rsidR="002A3C19" w:rsidRPr="006577DE">
              <w:rPr>
                <w:i/>
                <w:sz w:val="28"/>
                <w:szCs w:val="28"/>
                <w:lang w:val="uk-UA"/>
              </w:rPr>
              <w:t xml:space="preserve"> </w:t>
            </w:r>
            <w:r w:rsidR="00145C9C" w:rsidRPr="006577DE">
              <w:rPr>
                <w:i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145C9C" w:rsidRPr="006577DE">
              <w:rPr>
                <w:i/>
                <w:sz w:val="28"/>
                <w:szCs w:val="28"/>
                <w:lang w:val="uk-UA"/>
              </w:rPr>
              <w:t>хімі</w:t>
            </w:r>
            <w:r w:rsidR="002A3C19" w:rsidRPr="006577DE">
              <w:rPr>
                <w:i/>
                <w:sz w:val="28"/>
                <w:szCs w:val="28"/>
                <w:lang w:val="uk-UA"/>
              </w:rPr>
              <w:t>-</w:t>
            </w:r>
            <w:proofErr w:type="spellEnd"/>
            <w:r w:rsidR="00145C9C" w:rsidRPr="006577DE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1454E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2 год.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1454E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51,70 грн./год.,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1454E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4 </w:t>
            </w:r>
            <w:r w:rsidRPr="006577DE">
              <w:rPr>
                <w:sz w:val="28"/>
                <w:szCs w:val="28"/>
                <w:vertAlign w:val="superscript"/>
                <w:lang w:val="uk-UA"/>
              </w:rPr>
              <w:t>*</w:t>
            </w:r>
            <w:r w:rsidRPr="006577DE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1454E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4 839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97732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1454E" w:rsidRPr="006577DE" w:rsidRDefault="00597732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2 001 410,40,</w:t>
            </w:r>
          </w:p>
        </w:tc>
      </w:tr>
      <w:tr w:rsidR="00597732" w:rsidRPr="006577DE" w:rsidTr="00597732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597732" w:rsidRPr="006577DE" w:rsidRDefault="00597732" w:rsidP="002A3C19">
            <w:pPr>
              <w:jc w:val="right"/>
              <w:rPr>
                <w:rFonts w:eastAsia="Calibri"/>
                <w:i/>
              </w:rPr>
            </w:pPr>
            <w:r w:rsidRPr="006577DE">
              <w:rPr>
                <w:rFonts w:eastAsia="Calibri"/>
                <w:i/>
              </w:rPr>
              <w:lastRenderedPageBreak/>
              <w:t>Продовження додатк</w:t>
            </w:r>
            <w:r w:rsidR="002A3C19" w:rsidRPr="006577DE">
              <w:rPr>
                <w:rFonts w:eastAsia="Calibri"/>
                <w:i/>
              </w:rPr>
              <w:t>а</w:t>
            </w:r>
            <w:r w:rsidRPr="006577DE">
              <w:rPr>
                <w:rFonts w:eastAsia="Calibri"/>
                <w:i/>
              </w:rPr>
              <w:t xml:space="preserve"> 1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6577DE">
              <w:rPr>
                <w:i/>
                <w:lang w:val="uk-UA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</w:rPr>
            </w:pPr>
            <w:r w:rsidRPr="006577DE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lang w:val="uk-UA"/>
              </w:rPr>
            </w:pPr>
            <w:r w:rsidRPr="006577DE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lang w:val="uk-UA"/>
              </w:rPr>
            </w:pPr>
            <w:r w:rsidRPr="006577DE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</w:rPr>
            </w:pPr>
            <w:r w:rsidRPr="006577DE">
              <w:rPr>
                <w:rFonts w:eastAsia="Calibri"/>
              </w:rPr>
              <w:t>5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32" w:rsidRPr="006577DE" w:rsidRDefault="00597732" w:rsidP="00597732">
            <w:pPr>
              <w:pStyle w:val="p12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ко-бактеріологічної</w:t>
            </w:r>
            <w:proofErr w:type="spellEnd"/>
          </w:p>
          <w:p w:rsidR="0041454E" w:rsidRPr="006577DE" w:rsidRDefault="00597732" w:rsidP="00597732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 xml:space="preserve">лабораторії 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кому-</w:t>
            </w:r>
            <w:r w:rsidR="0041454E" w:rsidRPr="006577DE">
              <w:rPr>
                <w:i/>
                <w:sz w:val="28"/>
                <w:szCs w:val="28"/>
                <w:lang w:val="uk-UA"/>
              </w:rPr>
              <w:t>нального</w:t>
            </w:r>
            <w:proofErr w:type="spellEnd"/>
            <w:r w:rsidR="0041454E" w:rsidRPr="006577D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454E" w:rsidRPr="006577DE">
              <w:rPr>
                <w:i/>
                <w:sz w:val="28"/>
                <w:szCs w:val="28"/>
                <w:lang w:val="uk-UA"/>
              </w:rPr>
              <w:t>підприєм-ства</w:t>
            </w:r>
            <w:proofErr w:type="spellEnd"/>
            <w:r w:rsidR="0041454E" w:rsidRPr="006577DE">
              <w:rPr>
                <w:i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41454E" w:rsidRPr="006577DE">
              <w:rPr>
                <w:i/>
                <w:sz w:val="28"/>
                <w:szCs w:val="28"/>
                <w:lang w:val="uk-UA"/>
              </w:rPr>
              <w:t>Кривбасводо-канал</w:t>
            </w:r>
            <w:proofErr w:type="spellEnd"/>
            <w:r w:rsidR="0041454E" w:rsidRPr="006577DE">
              <w:rPr>
                <w:i/>
                <w:sz w:val="28"/>
                <w:szCs w:val="28"/>
                <w:lang w:val="uk-UA"/>
              </w:rPr>
              <w:t>»)</w:t>
            </w:r>
            <w:r w:rsidR="00B00F79" w:rsidRPr="006577DE">
              <w:rPr>
                <w:i/>
                <w:sz w:val="28"/>
                <w:szCs w:val="28"/>
                <w:lang w:val="uk-UA"/>
              </w:rPr>
              <w:t>;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454E" w:rsidRPr="006577DE" w:rsidTr="00597732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577DE">
              <w:rPr>
                <w:sz w:val="28"/>
                <w:szCs w:val="28"/>
                <w:lang w:val="uk-UA"/>
              </w:rPr>
              <w:t>-камеральні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3C19" w:rsidRPr="006577DE">
              <w:rPr>
                <w:sz w:val="28"/>
                <w:szCs w:val="28"/>
                <w:lang w:val="uk-UA"/>
              </w:rPr>
              <w:t>перевір-ки</w:t>
            </w:r>
            <w:proofErr w:type="spellEnd"/>
          </w:p>
          <w:p w:rsidR="0041454E" w:rsidRPr="006577DE" w:rsidRDefault="0041454E" w:rsidP="00B00F79">
            <w:pPr>
              <w:pStyle w:val="p12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 xml:space="preserve">(проведення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контро-льного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 xml:space="preserve"> аналізу проб стічних вод хіміко-бактеріологічною лабораторією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кому-нального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підприєм-ства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6577DE">
              <w:rPr>
                <w:i/>
                <w:sz w:val="28"/>
                <w:szCs w:val="28"/>
                <w:lang w:val="uk-UA"/>
              </w:rPr>
              <w:t>Кривбасводо-канал</w:t>
            </w:r>
            <w:proofErr w:type="spellEnd"/>
            <w:r w:rsidRPr="006577DE">
              <w:rPr>
                <w:i/>
                <w:sz w:val="28"/>
                <w:szCs w:val="28"/>
                <w:lang w:val="uk-UA"/>
              </w:rPr>
              <w:t>»)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77DE">
              <w:rPr>
                <w:rFonts w:eastAsia="Calibri"/>
                <w:sz w:val="28"/>
                <w:szCs w:val="28"/>
              </w:rPr>
              <w:t>168,71 грн.</w:t>
            </w:r>
          </w:p>
          <w:p w:rsidR="0041454E" w:rsidRPr="006577DE" w:rsidRDefault="0041454E" w:rsidP="002A3C19">
            <w:pPr>
              <w:jc w:val="both"/>
              <w:rPr>
                <w:i/>
                <w:sz w:val="28"/>
                <w:szCs w:val="28"/>
              </w:rPr>
            </w:pPr>
            <w:r w:rsidRPr="006577DE">
              <w:rPr>
                <w:i/>
                <w:sz w:val="28"/>
                <w:szCs w:val="28"/>
              </w:rPr>
              <w:t>(згідно</w:t>
            </w:r>
            <w:r w:rsidR="002A3C19" w:rsidRPr="006577DE">
              <w:rPr>
                <w:i/>
                <w:sz w:val="28"/>
                <w:szCs w:val="28"/>
              </w:rPr>
              <w:t xml:space="preserve"> </w:t>
            </w:r>
            <w:r w:rsidR="00B00F79" w:rsidRPr="006577DE">
              <w:rPr>
                <w:i/>
                <w:sz w:val="28"/>
                <w:szCs w:val="28"/>
              </w:rPr>
              <w:t>з</w:t>
            </w:r>
            <w:r w:rsidRPr="006577DE">
              <w:rPr>
                <w:i/>
                <w:sz w:val="28"/>
                <w:szCs w:val="28"/>
              </w:rPr>
              <w:t xml:space="preserve"> дани</w:t>
            </w:r>
            <w:r w:rsidR="00B00F79" w:rsidRPr="006577DE">
              <w:rPr>
                <w:i/>
                <w:sz w:val="28"/>
                <w:szCs w:val="28"/>
              </w:rPr>
              <w:t>ми</w:t>
            </w:r>
            <w:r w:rsidRPr="006577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77DE">
              <w:rPr>
                <w:i/>
                <w:sz w:val="28"/>
                <w:szCs w:val="28"/>
              </w:rPr>
              <w:t>кому</w:t>
            </w:r>
            <w:r w:rsidR="00B00F79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нального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підприємства «</w:t>
            </w:r>
            <w:proofErr w:type="spellStart"/>
            <w:r w:rsidRPr="006577DE">
              <w:rPr>
                <w:i/>
                <w:sz w:val="28"/>
                <w:szCs w:val="28"/>
              </w:rPr>
              <w:t>Кривбасводоканал</w:t>
            </w:r>
            <w:proofErr w:type="spellEnd"/>
            <w:r w:rsidRPr="006577DE">
              <w:rPr>
                <w:i/>
                <w:sz w:val="28"/>
                <w:szCs w:val="28"/>
              </w:rPr>
              <w:t>»</w:t>
            </w:r>
            <w:r w:rsidR="00B00F79" w:rsidRPr="006577DE">
              <w:rPr>
                <w:i/>
                <w:sz w:val="28"/>
                <w:szCs w:val="28"/>
              </w:rPr>
              <w:t xml:space="preserve"> –</w:t>
            </w:r>
            <w:r w:rsidRPr="006577DE">
              <w:rPr>
                <w:i/>
                <w:sz w:val="28"/>
                <w:szCs w:val="28"/>
              </w:rPr>
              <w:t xml:space="preserve"> затрати, </w:t>
            </w:r>
            <w:r w:rsidR="00B00F79" w:rsidRPr="006577DE">
              <w:rPr>
                <w:i/>
                <w:sz w:val="28"/>
                <w:szCs w:val="28"/>
              </w:rPr>
              <w:t>що</w:t>
            </w:r>
            <w:r w:rsidRPr="006577DE">
              <w:rPr>
                <w:i/>
                <w:sz w:val="28"/>
                <w:szCs w:val="28"/>
              </w:rPr>
              <w:t xml:space="preserve"> несе </w:t>
            </w:r>
            <w:r w:rsidR="00B00F79" w:rsidRPr="006577DE">
              <w:rPr>
                <w:i/>
                <w:sz w:val="28"/>
                <w:szCs w:val="28"/>
              </w:rPr>
              <w:t>підприємство</w:t>
            </w:r>
            <w:r w:rsidRPr="006577DE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6577DE">
              <w:rPr>
                <w:i/>
                <w:sz w:val="28"/>
                <w:szCs w:val="28"/>
              </w:rPr>
              <w:t>про</w:t>
            </w:r>
            <w:r w:rsidR="00B00F79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ведення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досліджень </w:t>
            </w:r>
            <w:proofErr w:type="spellStart"/>
            <w:r w:rsidRPr="006577DE">
              <w:rPr>
                <w:i/>
                <w:sz w:val="28"/>
                <w:szCs w:val="28"/>
              </w:rPr>
              <w:t>од</w:t>
            </w:r>
            <w:r w:rsidR="00B00F79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нієї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проби стічних вод </w:t>
            </w:r>
            <w:r w:rsidR="00B00F79" w:rsidRPr="006577DE">
              <w:rPr>
                <w:i/>
                <w:sz w:val="28"/>
                <w:szCs w:val="28"/>
              </w:rPr>
              <w:t>за</w:t>
            </w:r>
            <w:r w:rsidRPr="006577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00F79" w:rsidRPr="006577DE">
              <w:rPr>
                <w:i/>
                <w:sz w:val="28"/>
                <w:szCs w:val="28"/>
              </w:rPr>
              <w:t>десятю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показникам, включаючи затрати на матеріали, </w:t>
            </w:r>
            <w:proofErr w:type="spellStart"/>
            <w:r w:rsidRPr="006577DE">
              <w:rPr>
                <w:i/>
                <w:sz w:val="28"/>
                <w:szCs w:val="28"/>
              </w:rPr>
              <w:t>електро</w:t>
            </w:r>
            <w:r w:rsidR="00B00F79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енергію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та людино-годин</w:t>
            </w:r>
            <w:r w:rsidR="00B00F79" w:rsidRPr="006577DE">
              <w:rPr>
                <w:i/>
                <w:sz w:val="28"/>
                <w:szCs w:val="28"/>
              </w:rPr>
              <w:t>и</w:t>
            </w:r>
            <w:r w:rsidRPr="006577D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4</w:t>
            </w:r>
            <w:r w:rsidRPr="006577DE">
              <w:rPr>
                <w:sz w:val="28"/>
                <w:szCs w:val="28"/>
                <w:vertAlign w:val="superscript"/>
                <w:lang w:val="uk-UA"/>
              </w:rPr>
              <w:t>*</w:t>
            </w:r>
          </w:p>
          <w:p w:rsidR="0041454E" w:rsidRPr="006577DE" w:rsidRDefault="0041454E" w:rsidP="006714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4</w:t>
            </w:r>
            <w:r w:rsidR="00B00F79" w:rsidRPr="006577DE">
              <w:rPr>
                <w:sz w:val="28"/>
                <w:szCs w:val="28"/>
                <w:lang w:val="uk-UA"/>
              </w:rPr>
              <w:t xml:space="preserve"> </w:t>
            </w:r>
            <w:r w:rsidRPr="006577DE">
              <w:rPr>
                <w:sz w:val="28"/>
                <w:szCs w:val="28"/>
                <w:lang w:val="uk-UA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454E" w:rsidRPr="006577DE" w:rsidRDefault="0041454E" w:rsidP="006714A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77DE">
              <w:rPr>
                <w:rFonts w:eastAsia="Calibri"/>
                <w:sz w:val="28"/>
                <w:szCs w:val="28"/>
              </w:rPr>
              <w:t>3 265 550,70</w:t>
            </w:r>
          </w:p>
        </w:tc>
      </w:tr>
      <w:tr w:rsidR="0041454E" w:rsidRPr="006577DE" w:rsidTr="00597732">
        <w:tc>
          <w:tcPr>
            <w:tcW w:w="963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B00F79">
            <w:pPr>
              <w:jc w:val="both"/>
              <w:rPr>
                <w:rFonts w:eastAsia="Calibri"/>
                <w:sz w:val="28"/>
                <w:szCs w:val="28"/>
              </w:rPr>
            </w:pPr>
            <w:r w:rsidRPr="006577DE">
              <w:rPr>
                <w:sz w:val="28"/>
                <w:szCs w:val="28"/>
                <w:shd w:val="clear" w:color="auto" w:fill="FFFFFF"/>
              </w:rPr>
              <w:t xml:space="preserve">* </w:t>
            </w:r>
            <w:r w:rsidRPr="006577DE">
              <w:rPr>
                <w:i/>
                <w:sz w:val="28"/>
                <w:szCs w:val="28"/>
                <w:shd w:val="clear" w:color="auto" w:fill="FFFFFF"/>
              </w:rPr>
              <w:t xml:space="preserve">Згідно </w:t>
            </w:r>
            <w:r w:rsidR="00B00F79" w:rsidRPr="006577DE">
              <w:rPr>
                <w:i/>
                <w:sz w:val="28"/>
                <w:szCs w:val="28"/>
                <w:shd w:val="clear" w:color="auto" w:fill="FFFFFF"/>
              </w:rPr>
              <w:t xml:space="preserve">з </w:t>
            </w:r>
            <w:r w:rsidRPr="006577DE">
              <w:rPr>
                <w:i/>
                <w:sz w:val="28"/>
                <w:szCs w:val="28"/>
                <w:shd w:val="clear" w:color="auto" w:fill="FFFFFF"/>
              </w:rPr>
              <w:t>пункт</w:t>
            </w:r>
            <w:r w:rsidR="00B00F79" w:rsidRPr="006577DE">
              <w:rPr>
                <w:i/>
                <w:sz w:val="28"/>
                <w:szCs w:val="28"/>
                <w:shd w:val="clear" w:color="auto" w:fill="FFFFFF"/>
              </w:rPr>
              <w:t>ом</w:t>
            </w:r>
            <w:r w:rsidRPr="006577DE">
              <w:rPr>
                <w:i/>
                <w:sz w:val="28"/>
                <w:szCs w:val="28"/>
                <w:shd w:val="clear" w:color="auto" w:fill="FFFFFF"/>
              </w:rPr>
              <w:t xml:space="preserve"> 12.4.4.</w:t>
            </w:r>
            <w:r w:rsidRPr="006577DE">
              <w:rPr>
                <w:i/>
                <w:sz w:val="28"/>
                <w:szCs w:val="28"/>
              </w:rPr>
              <w:t xml:space="preserve"> Правил технічної експлуатації систем </w:t>
            </w:r>
            <w:proofErr w:type="spellStart"/>
            <w:r w:rsidRPr="006577DE">
              <w:rPr>
                <w:i/>
                <w:sz w:val="28"/>
                <w:szCs w:val="28"/>
              </w:rPr>
              <w:t>водо</w:t>
            </w:r>
            <w:r w:rsidR="00B00F79" w:rsidRPr="006577DE">
              <w:rPr>
                <w:i/>
                <w:sz w:val="28"/>
                <w:szCs w:val="28"/>
              </w:rPr>
              <w:t>-</w:t>
            </w:r>
            <w:r w:rsidRPr="006577DE">
              <w:rPr>
                <w:i/>
                <w:sz w:val="28"/>
                <w:szCs w:val="28"/>
              </w:rPr>
              <w:t>постачання</w:t>
            </w:r>
            <w:proofErr w:type="spellEnd"/>
            <w:r w:rsidRPr="006577DE">
              <w:rPr>
                <w:i/>
                <w:sz w:val="28"/>
                <w:szCs w:val="28"/>
              </w:rPr>
              <w:t xml:space="preserve"> та водовідведення населених пунктів України, затверджених Наказом Державного комітету</w:t>
            </w:r>
            <w:r w:rsidR="00B00F79" w:rsidRPr="006577DE">
              <w:rPr>
                <w:i/>
                <w:sz w:val="28"/>
                <w:szCs w:val="28"/>
              </w:rPr>
              <w:t xml:space="preserve"> України по</w:t>
            </w:r>
            <w:r w:rsidRPr="006577DE">
              <w:rPr>
                <w:i/>
                <w:sz w:val="28"/>
                <w:szCs w:val="28"/>
              </w:rPr>
              <w:t xml:space="preserve"> житлово-комунально</w:t>
            </w:r>
            <w:r w:rsidR="00B00F79" w:rsidRPr="006577DE">
              <w:rPr>
                <w:i/>
                <w:sz w:val="28"/>
                <w:szCs w:val="28"/>
              </w:rPr>
              <w:t>му</w:t>
            </w:r>
            <w:r w:rsidRPr="006577DE">
              <w:rPr>
                <w:i/>
                <w:sz w:val="28"/>
                <w:szCs w:val="28"/>
              </w:rPr>
              <w:t xml:space="preserve"> господарств</w:t>
            </w:r>
            <w:r w:rsidR="00B00F79" w:rsidRPr="006577DE">
              <w:rPr>
                <w:i/>
                <w:sz w:val="28"/>
                <w:szCs w:val="28"/>
              </w:rPr>
              <w:t>у</w:t>
            </w:r>
            <w:r w:rsidRPr="006577DE">
              <w:rPr>
                <w:i/>
                <w:sz w:val="28"/>
                <w:szCs w:val="28"/>
              </w:rPr>
              <w:t xml:space="preserve"> від 05</w:t>
            </w:r>
            <w:r w:rsidR="002A3C19" w:rsidRPr="006577DE">
              <w:rPr>
                <w:i/>
                <w:sz w:val="28"/>
                <w:szCs w:val="28"/>
              </w:rPr>
              <w:t xml:space="preserve"> </w:t>
            </w:r>
            <w:r w:rsidR="00B00F79" w:rsidRPr="006577DE">
              <w:rPr>
                <w:i/>
                <w:sz w:val="28"/>
                <w:szCs w:val="28"/>
              </w:rPr>
              <w:t xml:space="preserve">липня </w:t>
            </w:r>
            <w:r w:rsidRPr="006577DE">
              <w:rPr>
                <w:i/>
                <w:sz w:val="28"/>
                <w:szCs w:val="28"/>
              </w:rPr>
              <w:t>1995</w:t>
            </w:r>
            <w:r w:rsidR="002A3C19" w:rsidRPr="006577DE">
              <w:rPr>
                <w:i/>
                <w:sz w:val="28"/>
                <w:szCs w:val="28"/>
              </w:rPr>
              <w:t xml:space="preserve"> </w:t>
            </w:r>
            <w:r w:rsidR="00B00F79" w:rsidRPr="006577DE">
              <w:rPr>
                <w:i/>
                <w:sz w:val="28"/>
                <w:szCs w:val="28"/>
              </w:rPr>
              <w:t>року</w:t>
            </w:r>
            <w:r w:rsidRPr="006577DE">
              <w:rPr>
                <w:i/>
                <w:sz w:val="28"/>
                <w:szCs w:val="28"/>
              </w:rPr>
              <w:t xml:space="preserve"> №30</w:t>
            </w:r>
            <w:r w:rsidR="00B00F79" w:rsidRPr="006577DE">
              <w:rPr>
                <w:i/>
                <w:sz w:val="28"/>
                <w:szCs w:val="28"/>
              </w:rPr>
              <w:t xml:space="preserve"> </w:t>
            </w:r>
            <w:r w:rsidRPr="006577DE">
              <w:rPr>
                <w:i/>
                <w:sz w:val="28"/>
                <w:szCs w:val="28"/>
              </w:rPr>
              <w:t>к</w:t>
            </w:r>
            <w:r w:rsidRPr="006577DE">
              <w:rPr>
                <w:i/>
                <w:sz w:val="28"/>
                <w:szCs w:val="28"/>
                <w:shd w:val="clear" w:color="auto" w:fill="FFFFFF"/>
              </w:rPr>
              <w:t>онтроль за витратою і якістю стічних вод усіх підприємств-споживачів здійснюється не рідше разу на три місяці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2. Підготовка,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зат-вердження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опра-цювання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одного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ок-ремого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акта про порушення вимог регулювання 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3. Реалізація одного окремого рішення щодо порушення вимог регулювання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B00F79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4. Оскарження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одно-го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окремого рішення суб’єктами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госпо-дарювання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</w:tr>
      <w:tr w:rsidR="0041454E" w:rsidRPr="006577DE" w:rsidTr="0059773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B00F79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5. Підготовка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звітно-сті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за результатами </w:t>
            </w:r>
            <w:r w:rsidR="006C6FF8" w:rsidRPr="006577DE">
              <w:rPr>
                <w:sz w:val="28"/>
                <w:szCs w:val="28"/>
                <w:lang w:val="uk-UA"/>
              </w:rPr>
              <w:t>регулювання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51,70 грн./год.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4E" w:rsidRPr="006577DE" w:rsidRDefault="0041454E" w:rsidP="006714A1">
            <w:pPr>
              <w:jc w:val="center"/>
              <w:rPr>
                <w:sz w:val="28"/>
                <w:szCs w:val="28"/>
              </w:rPr>
            </w:pPr>
            <w:r w:rsidRPr="006577DE">
              <w:rPr>
                <w:sz w:val="28"/>
                <w:szCs w:val="28"/>
              </w:rPr>
              <w:t>155,10</w:t>
            </w:r>
          </w:p>
        </w:tc>
      </w:tr>
    </w:tbl>
    <w:p w:rsidR="006C6FF8" w:rsidRPr="006577DE" w:rsidRDefault="006C6FF8" w:rsidP="00B00F79">
      <w:pPr>
        <w:jc w:val="right"/>
        <w:rPr>
          <w:i/>
        </w:rPr>
      </w:pPr>
    </w:p>
    <w:p w:rsidR="00B00F79" w:rsidRPr="006577DE" w:rsidRDefault="00B00F79" w:rsidP="00B00F79">
      <w:pPr>
        <w:jc w:val="right"/>
        <w:rPr>
          <w:i/>
        </w:rPr>
      </w:pPr>
      <w:r w:rsidRPr="006577DE">
        <w:rPr>
          <w:i/>
        </w:rPr>
        <w:lastRenderedPageBreak/>
        <w:t>Продовження додатк</w:t>
      </w:r>
      <w:r w:rsidR="002A3C19" w:rsidRPr="006577DE">
        <w:rPr>
          <w:i/>
        </w:rPr>
        <w:t>а</w:t>
      </w:r>
      <w:r w:rsidRPr="006577DE">
        <w:rPr>
          <w:i/>
        </w:rPr>
        <w:t xml:space="preserve"> 1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1498"/>
        <w:gridCol w:w="1479"/>
        <w:gridCol w:w="1275"/>
        <w:gridCol w:w="1134"/>
        <w:gridCol w:w="1701"/>
      </w:tblGrid>
      <w:tr w:rsidR="00B00F79" w:rsidRPr="006577DE" w:rsidTr="006714A1">
        <w:trPr>
          <w:trHeight w:val="4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2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1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1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1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1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9323C1" w:rsidP="009323C1">
            <w:pPr>
              <w:pStyle w:val="p11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6577DE">
              <w:rPr>
                <w:i/>
                <w:sz w:val="28"/>
                <w:szCs w:val="28"/>
                <w:lang w:val="uk-UA"/>
              </w:rPr>
              <w:t>6</w:t>
            </w:r>
          </w:p>
        </w:tc>
      </w:tr>
      <w:tr w:rsidR="00B00F79" w:rsidRPr="006577DE" w:rsidTr="006714A1">
        <w:trPr>
          <w:trHeight w:val="40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 xml:space="preserve">6. Інші </w:t>
            </w:r>
            <w:proofErr w:type="spellStart"/>
            <w:r w:rsidRPr="006577DE">
              <w:rPr>
                <w:sz w:val="28"/>
                <w:szCs w:val="28"/>
                <w:lang w:val="uk-UA"/>
              </w:rPr>
              <w:t>адміністра-тивні</w:t>
            </w:r>
            <w:proofErr w:type="spellEnd"/>
            <w:r w:rsidRPr="006577DE">
              <w:rPr>
                <w:sz w:val="28"/>
                <w:szCs w:val="28"/>
                <w:lang w:val="uk-UA"/>
              </w:rPr>
              <w:t xml:space="preserve"> процедури (уточнити):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-</w:t>
            </w:r>
          </w:p>
        </w:tc>
      </w:tr>
      <w:tr w:rsidR="00B00F79" w:rsidRPr="006577DE" w:rsidTr="006714A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Разом за рік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5 267 116,20</w:t>
            </w:r>
          </w:p>
        </w:tc>
      </w:tr>
      <w:tr w:rsidR="00B00F79" w:rsidRPr="006577DE" w:rsidTr="006714A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Сумарно за п’ять років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F79" w:rsidRPr="006577DE" w:rsidRDefault="00B00F79" w:rsidP="006714A1">
            <w:pPr>
              <w:pStyle w:val="p1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577DE">
              <w:rPr>
                <w:sz w:val="28"/>
                <w:szCs w:val="28"/>
                <w:lang w:val="uk-UA"/>
              </w:rPr>
              <w:t>Х</w:t>
            </w:r>
          </w:p>
        </w:tc>
      </w:tr>
      <w:bookmarkEnd w:id="0"/>
    </w:tbl>
    <w:p w:rsidR="00B00F79" w:rsidRPr="006577DE" w:rsidRDefault="00B00F79"/>
    <w:sectPr w:rsidR="00B00F79" w:rsidRPr="006577DE" w:rsidSect="008D371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E3" w:rsidRDefault="004B53E3" w:rsidP="004E165B">
      <w:r>
        <w:separator/>
      </w:r>
    </w:p>
  </w:endnote>
  <w:endnote w:type="continuationSeparator" w:id="0">
    <w:p w:rsidR="004B53E3" w:rsidRDefault="004B53E3" w:rsidP="004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E3" w:rsidRDefault="004B53E3" w:rsidP="004E165B">
      <w:r>
        <w:separator/>
      </w:r>
    </w:p>
  </w:footnote>
  <w:footnote w:type="continuationSeparator" w:id="0">
    <w:p w:rsidR="004B53E3" w:rsidRDefault="004B53E3" w:rsidP="004E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67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165B" w:rsidRPr="004E165B" w:rsidRDefault="004E165B">
        <w:pPr>
          <w:pStyle w:val="a5"/>
          <w:jc w:val="center"/>
          <w:rPr>
            <w:sz w:val="28"/>
            <w:szCs w:val="28"/>
          </w:rPr>
        </w:pPr>
        <w:r w:rsidRPr="004E165B">
          <w:rPr>
            <w:sz w:val="28"/>
            <w:szCs w:val="28"/>
          </w:rPr>
          <w:fldChar w:fldCharType="begin"/>
        </w:r>
        <w:r w:rsidRPr="004E165B">
          <w:rPr>
            <w:sz w:val="28"/>
            <w:szCs w:val="28"/>
          </w:rPr>
          <w:instrText>PAGE   \* MERGEFORMAT</w:instrText>
        </w:r>
        <w:r w:rsidRPr="004E165B">
          <w:rPr>
            <w:sz w:val="28"/>
            <w:szCs w:val="28"/>
          </w:rPr>
          <w:fldChar w:fldCharType="separate"/>
        </w:r>
        <w:r w:rsidR="006577DE" w:rsidRPr="006577DE">
          <w:rPr>
            <w:noProof/>
            <w:sz w:val="28"/>
            <w:szCs w:val="28"/>
            <w:lang w:val="ru-RU"/>
          </w:rPr>
          <w:t>6</w:t>
        </w:r>
        <w:r w:rsidRPr="004E165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5"/>
    <w:rsid w:val="00145C9C"/>
    <w:rsid w:val="001B5D68"/>
    <w:rsid w:val="002A3C19"/>
    <w:rsid w:val="00331A0E"/>
    <w:rsid w:val="003354F8"/>
    <w:rsid w:val="003D10B2"/>
    <w:rsid w:val="0041454E"/>
    <w:rsid w:val="004A1ED9"/>
    <w:rsid w:val="004B53E3"/>
    <w:rsid w:val="004E165B"/>
    <w:rsid w:val="00597732"/>
    <w:rsid w:val="00602363"/>
    <w:rsid w:val="0064720B"/>
    <w:rsid w:val="006577DE"/>
    <w:rsid w:val="006B2669"/>
    <w:rsid w:val="006C6FF8"/>
    <w:rsid w:val="006F26FA"/>
    <w:rsid w:val="00774A84"/>
    <w:rsid w:val="0077675A"/>
    <w:rsid w:val="00795BA7"/>
    <w:rsid w:val="00806A7E"/>
    <w:rsid w:val="00881E53"/>
    <w:rsid w:val="008D371B"/>
    <w:rsid w:val="009323C1"/>
    <w:rsid w:val="009805F7"/>
    <w:rsid w:val="009E58E5"/>
    <w:rsid w:val="00A3371A"/>
    <w:rsid w:val="00AA4C57"/>
    <w:rsid w:val="00B00F79"/>
    <w:rsid w:val="00BF2D24"/>
    <w:rsid w:val="00D130B5"/>
    <w:rsid w:val="00D75533"/>
    <w:rsid w:val="00EB4F77"/>
    <w:rsid w:val="00EE7390"/>
    <w:rsid w:val="00F32ACE"/>
    <w:rsid w:val="00F46D27"/>
    <w:rsid w:val="00F50C54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54E"/>
    <w:rPr>
      <w:b/>
      <w:bCs/>
    </w:rPr>
  </w:style>
  <w:style w:type="paragraph" w:styleId="a4">
    <w:name w:val="Normal (Web)"/>
    <w:basedOn w:val="a"/>
    <w:uiPriority w:val="99"/>
    <w:unhideWhenUsed/>
    <w:rsid w:val="0041454E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rsid w:val="0041454E"/>
  </w:style>
  <w:style w:type="paragraph" w:customStyle="1" w:styleId="p6">
    <w:name w:val="p6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7">
    <w:name w:val="p7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2">
    <w:name w:val="s2"/>
    <w:rsid w:val="0041454E"/>
    <w:rPr>
      <w:rFonts w:cs="Times New Roman"/>
    </w:rPr>
  </w:style>
  <w:style w:type="paragraph" w:customStyle="1" w:styleId="p11">
    <w:name w:val="p11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12">
    <w:name w:val="p12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13">
    <w:name w:val="p13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header"/>
    <w:basedOn w:val="a"/>
    <w:link w:val="a6"/>
    <w:uiPriority w:val="99"/>
    <w:unhideWhenUsed/>
    <w:rsid w:val="004E1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E1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B5D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D6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54E"/>
    <w:rPr>
      <w:b/>
      <w:bCs/>
    </w:rPr>
  </w:style>
  <w:style w:type="paragraph" w:styleId="a4">
    <w:name w:val="Normal (Web)"/>
    <w:basedOn w:val="a"/>
    <w:uiPriority w:val="99"/>
    <w:unhideWhenUsed/>
    <w:rsid w:val="0041454E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rsid w:val="0041454E"/>
  </w:style>
  <w:style w:type="paragraph" w:customStyle="1" w:styleId="p6">
    <w:name w:val="p6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7">
    <w:name w:val="p7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2">
    <w:name w:val="s2"/>
    <w:rsid w:val="0041454E"/>
    <w:rPr>
      <w:rFonts w:cs="Times New Roman"/>
    </w:rPr>
  </w:style>
  <w:style w:type="paragraph" w:customStyle="1" w:styleId="p11">
    <w:name w:val="p11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12">
    <w:name w:val="p12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p13">
    <w:name w:val="p13"/>
    <w:basedOn w:val="a"/>
    <w:rsid w:val="0041454E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header"/>
    <w:basedOn w:val="a"/>
    <w:link w:val="a6"/>
    <w:uiPriority w:val="99"/>
    <w:unhideWhenUsed/>
    <w:rsid w:val="004E1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E1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B5D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D6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23</cp:revision>
  <cp:lastPrinted>2018-12-21T10:23:00Z</cp:lastPrinted>
  <dcterms:created xsi:type="dcterms:W3CDTF">2018-12-18T09:33:00Z</dcterms:created>
  <dcterms:modified xsi:type="dcterms:W3CDTF">2019-02-14T10:16:00Z</dcterms:modified>
</cp:coreProperties>
</file>