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DC" w:rsidRPr="00993686" w:rsidRDefault="002A782D" w:rsidP="002A782D">
      <w:pPr>
        <w:suppressAutoHyphens/>
        <w:spacing w:after="0" w:line="240" w:lineRule="auto"/>
        <w:ind w:left="5103"/>
        <w:rPr>
          <w:rFonts w:ascii="Times New Roman" w:hAnsi="Times New Roman" w:cs="Calibri"/>
          <w:i/>
          <w:sz w:val="24"/>
          <w:szCs w:val="24"/>
          <w:lang w:eastAsia="ar-SA"/>
        </w:rPr>
      </w:pPr>
      <w:r w:rsidRPr="00993686">
        <w:rPr>
          <w:rFonts w:ascii="Times New Roman" w:hAnsi="Times New Roman" w:cs="Calibri"/>
          <w:i/>
          <w:sz w:val="24"/>
          <w:szCs w:val="24"/>
          <w:lang w:eastAsia="ar-SA"/>
        </w:rPr>
        <w:t>Додаток 1</w:t>
      </w:r>
    </w:p>
    <w:p w:rsidR="003E6ADC" w:rsidRPr="00993686" w:rsidRDefault="002A782D" w:rsidP="009809A4">
      <w:pPr>
        <w:tabs>
          <w:tab w:val="left" w:pos="5103"/>
        </w:tabs>
        <w:suppressAutoHyphens/>
        <w:spacing w:after="0" w:line="240" w:lineRule="auto"/>
        <w:ind w:left="3540" w:firstLine="708"/>
        <w:rPr>
          <w:rFonts w:ascii="Times New Roman" w:hAnsi="Times New Roman" w:cs="Calibri"/>
          <w:i/>
          <w:sz w:val="24"/>
          <w:szCs w:val="24"/>
          <w:lang w:eastAsia="ar-SA"/>
        </w:rPr>
      </w:pPr>
      <w:r w:rsidRPr="00993686">
        <w:rPr>
          <w:rFonts w:ascii="Times New Roman" w:hAnsi="Times New Roman" w:cs="Calibri"/>
          <w:i/>
          <w:sz w:val="24"/>
          <w:szCs w:val="24"/>
          <w:lang w:eastAsia="ar-SA"/>
        </w:rPr>
        <w:t xml:space="preserve">          </w:t>
      </w:r>
      <w:r w:rsidR="003E6ADC" w:rsidRPr="00993686">
        <w:rPr>
          <w:rFonts w:ascii="Times New Roman" w:hAnsi="Times New Roman" w:cs="Calibri"/>
          <w:i/>
          <w:sz w:val="24"/>
          <w:szCs w:val="24"/>
          <w:lang w:eastAsia="ar-SA"/>
        </w:rPr>
        <w:t xml:space="preserve"> </w:t>
      </w:r>
      <w:r w:rsidR="009809A4" w:rsidRPr="00993686">
        <w:rPr>
          <w:rFonts w:ascii="Times New Roman" w:hAnsi="Times New Roman" w:cs="Calibri"/>
          <w:i/>
          <w:sz w:val="24"/>
          <w:szCs w:val="24"/>
          <w:lang w:eastAsia="ar-SA"/>
        </w:rPr>
        <w:t xml:space="preserve">   </w:t>
      </w:r>
      <w:r w:rsidRPr="00993686">
        <w:rPr>
          <w:rFonts w:ascii="Times New Roman" w:hAnsi="Times New Roman" w:cs="Calibri"/>
          <w:i/>
          <w:sz w:val="24"/>
          <w:szCs w:val="24"/>
          <w:lang w:eastAsia="ar-SA"/>
        </w:rPr>
        <w:t>до</w:t>
      </w:r>
      <w:r w:rsidR="003E6ADC" w:rsidRPr="00993686">
        <w:rPr>
          <w:rFonts w:ascii="Times New Roman" w:hAnsi="Times New Roman" w:cs="Calibri"/>
          <w:i/>
          <w:sz w:val="24"/>
          <w:szCs w:val="24"/>
          <w:lang w:eastAsia="ar-SA"/>
        </w:rPr>
        <w:t xml:space="preserve">  </w:t>
      </w:r>
      <w:r w:rsidRPr="00993686">
        <w:rPr>
          <w:rFonts w:ascii="Times New Roman" w:hAnsi="Times New Roman" w:cs="Calibri"/>
          <w:i/>
          <w:sz w:val="24"/>
          <w:szCs w:val="24"/>
          <w:lang w:eastAsia="ar-SA"/>
        </w:rPr>
        <w:t>р</w:t>
      </w:r>
      <w:r w:rsidR="003E6ADC" w:rsidRPr="00993686">
        <w:rPr>
          <w:rFonts w:ascii="Times New Roman" w:hAnsi="Times New Roman" w:cs="Calibri"/>
          <w:i/>
          <w:sz w:val="24"/>
          <w:szCs w:val="24"/>
          <w:lang w:eastAsia="ar-SA"/>
        </w:rPr>
        <w:t>ішення виконкому міської ради</w:t>
      </w:r>
    </w:p>
    <w:p w:rsidR="00AF55E3" w:rsidRPr="00993686" w:rsidRDefault="003E6ADC" w:rsidP="00993686">
      <w:pPr>
        <w:tabs>
          <w:tab w:val="center" w:pos="4818"/>
        </w:tabs>
        <w:suppressAutoHyphens/>
        <w:spacing w:after="0" w:line="240" w:lineRule="auto"/>
        <w:rPr>
          <w:rFonts w:ascii="Times New Roman" w:hAnsi="Times New Roman" w:cs="Calibri"/>
          <w:i/>
          <w:sz w:val="24"/>
          <w:szCs w:val="24"/>
          <w:lang w:eastAsia="ar-SA"/>
        </w:rPr>
      </w:pPr>
      <w:r w:rsidRPr="00993686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  </w:t>
      </w:r>
      <w:r w:rsidR="00993686" w:rsidRPr="00993686">
        <w:rPr>
          <w:rFonts w:ascii="Times New Roman" w:hAnsi="Times New Roman" w:cs="Calibri"/>
          <w:b/>
          <w:i/>
          <w:sz w:val="24"/>
          <w:szCs w:val="24"/>
          <w:lang w:eastAsia="ar-SA"/>
        </w:rPr>
        <w:tab/>
        <w:t xml:space="preserve">                                    </w:t>
      </w:r>
      <w:bookmarkStart w:id="0" w:name="_GoBack"/>
      <w:r w:rsidR="00C778B6">
        <w:rPr>
          <w:rFonts w:ascii="Times New Roman" w:hAnsi="Times New Roman" w:cs="Calibri"/>
          <w:i/>
          <w:sz w:val="24"/>
          <w:szCs w:val="24"/>
          <w:lang w:eastAsia="ar-SA"/>
        </w:rPr>
        <w:t>23.10.2018 №4</w:t>
      </w:r>
      <w:r w:rsidR="00993686" w:rsidRPr="00993686">
        <w:rPr>
          <w:rFonts w:ascii="Times New Roman" w:hAnsi="Times New Roman" w:cs="Calibri"/>
          <w:i/>
          <w:sz w:val="24"/>
          <w:szCs w:val="24"/>
          <w:lang w:eastAsia="ar-SA"/>
        </w:rPr>
        <w:t>83</w:t>
      </w:r>
      <w:bookmarkEnd w:id="0"/>
    </w:p>
    <w:p w:rsidR="003E6ADC" w:rsidRPr="00993686" w:rsidRDefault="003E6ADC" w:rsidP="00350308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993686">
        <w:rPr>
          <w:rFonts w:ascii="Times New Roman" w:hAnsi="Times New Roman" w:cs="Calibri"/>
          <w:b/>
          <w:i/>
          <w:sz w:val="24"/>
          <w:szCs w:val="24"/>
          <w:lang w:eastAsia="ar-SA"/>
        </w:rPr>
        <w:t>ІНФОРМАЦІЙНІ КАРТКИ</w:t>
      </w:r>
    </w:p>
    <w:p w:rsidR="003E6ADC" w:rsidRPr="00993686" w:rsidRDefault="003E6ADC" w:rsidP="00FB1D25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993686">
        <w:rPr>
          <w:rFonts w:ascii="Times New Roman" w:hAnsi="Times New Roman" w:cs="Calibri"/>
          <w:b/>
          <w:i/>
          <w:sz w:val="24"/>
          <w:szCs w:val="24"/>
          <w:lang w:eastAsia="ar-SA"/>
        </w:rPr>
        <w:t>адміністративних послуг, що надаються відділом</w:t>
      </w:r>
      <w:r w:rsidR="00FB1D25" w:rsidRPr="00993686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з питань державного </w:t>
      </w:r>
      <w:proofErr w:type="spellStart"/>
      <w:r w:rsidR="00FB1D25" w:rsidRPr="00993686">
        <w:rPr>
          <w:rFonts w:ascii="Times New Roman" w:hAnsi="Times New Roman" w:cs="Calibri"/>
          <w:b/>
          <w:i/>
          <w:sz w:val="24"/>
          <w:szCs w:val="24"/>
          <w:lang w:eastAsia="ar-SA"/>
        </w:rPr>
        <w:t>архітектурно-</w:t>
      </w:r>
      <w:proofErr w:type="spellEnd"/>
      <w:r w:rsidR="00FB1D25" w:rsidRPr="00993686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</w:t>
      </w:r>
      <w:r w:rsidRPr="00993686">
        <w:rPr>
          <w:rFonts w:ascii="Times New Roman" w:hAnsi="Times New Roman" w:cs="Calibri"/>
          <w:b/>
          <w:i/>
          <w:sz w:val="24"/>
          <w:szCs w:val="24"/>
          <w:lang w:eastAsia="ar-SA"/>
        </w:rPr>
        <w:t>будівельного контролю виконкому Криворізької міської ради в Центрі адміністративних послуг «Віза» та його територіальних підрозділах</w:t>
      </w:r>
    </w:p>
    <w:p w:rsidR="00605D3B" w:rsidRPr="00993686" w:rsidRDefault="00605D3B" w:rsidP="009255B4">
      <w:pPr>
        <w:suppressAutoHyphens/>
        <w:spacing w:after="0" w:line="240" w:lineRule="auto"/>
        <w:rPr>
          <w:rFonts w:ascii="Times New Roman" w:hAnsi="Times New Roman" w:cs="Calibri"/>
          <w:b/>
          <w:sz w:val="20"/>
          <w:szCs w:val="20"/>
          <w:lang w:eastAsia="ar-SA"/>
        </w:rPr>
      </w:pPr>
    </w:p>
    <w:p w:rsidR="00FE0789" w:rsidRPr="00993686" w:rsidRDefault="001A5AED" w:rsidP="00CB7D77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993686">
        <w:rPr>
          <w:rFonts w:ascii="Times New Roman" w:hAnsi="Times New Roman" w:cs="Calibri"/>
          <w:b/>
          <w:i/>
          <w:sz w:val="24"/>
          <w:szCs w:val="24"/>
          <w:lang w:eastAsia="ar-SA"/>
        </w:rPr>
        <w:t>ІНФОРМАЦІЙНА КАРТ</w:t>
      </w:r>
      <w:r w:rsidR="00ED4376" w:rsidRPr="00993686">
        <w:rPr>
          <w:rFonts w:ascii="Times New Roman" w:hAnsi="Times New Roman" w:cs="Calibri"/>
          <w:b/>
          <w:i/>
          <w:sz w:val="24"/>
          <w:szCs w:val="24"/>
          <w:lang w:eastAsia="ar-SA"/>
        </w:rPr>
        <w:t>КА</w:t>
      </w:r>
      <w:r w:rsidR="00F11978" w:rsidRPr="00993686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АДМІНІСТРАТИВНОЇ ПОСЛУГИ</w:t>
      </w:r>
      <w:r w:rsidR="00ED4376" w:rsidRPr="00993686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№1</w:t>
      </w:r>
      <w:r w:rsidR="00185D52" w:rsidRPr="00993686">
        <w:rPr>
          <w:rFonts w:ascii="Times New Roman" w:hAnsi="Times New Roman" w:cs="Calibri"/>
          <w:b/>
          <w:i/>
          <w:sz w:val="24"/>
          <w:szCs w:val="24"/>
          <w:lang w:eastAsia="ar-SA"/>
        </w:rPr>
        <w:t>0</w:t>
      </w:r>
    </w:p>
    <w:p w:rsidR="00214EB9" w:rsidRPr="00993686" w:rsidRDefault="00D9314C" w:rsidP="00CB7D77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993686">
        <w:rPr>
          <w:rFonts w:ascii="Times New Roman" w:hAnsi="Times New Roman" w:cs="Calibri"/>
          <w:i/>
          <w:sz w:val="24"/>
          <w:szCs w:val="24"/>
          <w:lang w:eastAsia="ar-SA"/>
        </w:rPr>
        <w:t>Послуга:</w:t>
      </w:r>
      <w:r w:rsidRPr="00993686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</w:t>
      </w:r>
      <w:r w:rsidR="000E296B" w:rsidRPr="00993686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Реєстрація декларації про готовність об’єкта до експлуатації </w:t>
      </w:r>
      <w:r w:rsidR="00305EDC" w:rsidRPr="00993686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індивідуальних (садибних) житлових будинків, садових, дачних будинків, господарських (присадибних) будівель і споруд, будівель і споруд сільськогосподарського призначення </w:t>
      </w:r>
      <w:r w:rsidR="000E296B" w:rsidRPr="00993686">
        <w:rPr>
          <w:rFonts w:ascii="Times New Roman" w:hAnsi="Times New Roman" w:cs="Calibri"/>
          <w:b/>
          <w:i/>
          <w:sz w:val="24"/>
          <w:szCs w:val="24"/>
          <w:lang w:eastAsia="ar-SA"/>
        </w:rPr>
        <w:t>щодо об’єктів, що за класом наслідків (відповідальності) належать до об’єктів з незначними наслідками (СС1), розташованих</w:t>
      </w:r>
      <w:r w:rsidR="00680FF4" w:rsidRPr="00993686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на території м. Кривого Рогу, </w:t>
      </w:r>
      <w:r w:rsidR="00214EB9" w:rsidRPr="00993686">
        <w:rPr>
          <w:rFonts w:ascii="Times New Roman" w:hAnsi="Times New Roman" w:cs="Calibri"/>
          <w:b/>
          <w:i/>
          <w:sz w:val="24"/>
          <w:szCs w:val="24"/>
          <w:lang w:eastAsia="ar-SA"/>
        </w:rPr>
        <w:t>які збудовані на земельній ділянці відповідного цільового призначення без дозвільного документа на виконання будівельних робіт</w:t>
      </w:r>
    </w:p>
    <w:p w:rsidR="00014092" w:rsidRPr="00993686" w:rsidRDefault="00014092" w:rsidP="00214EB9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993686">
        <w:rPr>
          <w:rFonts w:ascii="Times New Roman" w:hAnsi="Times New Roman"/>
          <w:b/>
          <w:sz w:val="20"/>
          <w:szCs w:val="20"/>
          <w:lang w:eastAsia="ar-SA"/>
        </w:rPr>
        <w:t xml:space="preserve"> </w:t>
      </w:r>
    </w:p>
    <w:tbl>
      <w:tblPr>
        <w:tblW w:w="9804" w:type="dxa"/>
        <w:tblLayout w:type="fixed"/>
        <w:tblLook w:val="0000" w:firstRow="0" w:lastRow="0" w:firstColumn="0" w:lastColumn="0" w:noHBand="0" w:noVBand="0"/>
      </w:tblPr>
      <w:tblGrid>
        <w:gridCol w:w="562"/>
        <w:gridCol w:w="3724"/>
        <w:gridCol w:w="5518"/>
      </w:tblGrid>
      <w:tr w:rsidR="00014092" w:rsidRPr="00993686" w:rsidTr="009255B4">
        <w:trPr>
          <w:trHeight w:val="262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092" w:rsidRPr="00993686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993686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Інформація про центр надання адміністративних послуг</w:t>
            </w:r>
          </w:p>
        </w:tc>
      </w:tr>
      <w:tr w:rsidR="00014092" w:rsidRPr="00993686" w:rsidTr="0093143E">
        <w:trPr>
          <w:trHeight w:val="711"/>
        </w:trPr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14092" w:rsidRPr="00993686" w:rsidRDefault="00014092" w:rsidP="00664B52">
            <w:pPr>
              <w:spacing w:before="60" w:after="60" w:line="240" w:lineRule="auto"/>
              <w:ind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686">
              <w:rPr>
                <w:rFonts w:ascii="Times New Roman" w:hAnsi="Times New Roman"/>
                <w:sz w:val="24"/>
                <w:szCs w:val="24"/>
                <w:lang w:eastAsia="ru-RU"/>
              </w:rPr>
              <w:t>Найменування центру надання адміністративних послуг, у якому здійснюється обслуговування суб’єкта звернення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092" w:rsidRPr="00993686" w:rsidRDefault="00014092" w:rsidP="003310BC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 адміністративних послуг «Віза» (надалі </w:t>
            </w:r>
            <w:proofErr w:type="spellStart"/>
            <w:r w:rsidRPr="00993686">
              <w:rPr>
                <w:rFonts w:ascii="Times New Roman" w:hAnsi="Times New Roman"/>
                <w:sz w:val="24"/>
                <w:szCs w:val="24"/>
                <w:lang w:eastAsia="ru-RU"/>
              </w:rPr>
              <w:t>-Центр</w:t>
            </w:r>
            <w:proofErr w:type="spellEnd"/>
            <w:r w:rsidRPr="0099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014092" w:rsidRPr="00993686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93686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9368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93686" w:rsidRDefault="00014092" w:rsidP="00DF6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Місцезнаходження центру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93686" w:rsidRDefault="00014092" w:rsidP="00DF6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50101, м. Кривий Ріг, пл. Молодіжна, 1,     </w:t>
            </w:r>
          </w:p>
        </w:tc>
      </w:tr>
      <w:tr w:rsidR="00014092" w:rsidRPr="00993686" w:rsidTr="00664B52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93686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9368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93686" w:rsidRDefault="00014092" w:rsidP="0033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Інформація щодо режиму роботи центру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93686" w:rsidRDefault="00014092" w:rsidP="003260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686">
              <w:rPr>
                <w:rFonts w:ascii="Times New Roman" w:hAnsi="Times New Roman"/>
                <w:sz w:val="24"/>
                <w:szCs w:val="24"/>
                <w:lang w:eastAsia="ru-RU"/>
              </w:rPr>
              <w:t>У Центрі: понеділок, середа, п’ятниця з 8.30 до 17.00 години, без перерви; вівторок, четвер з 8.30 до 20.00 години, без перерви.</w:t>
            </w:r>
          </w:p>
          <w:p w:rsidR="00796FE3" w:rsidRPr="00993686" w:rsidRDefault="00014092" w:rsidP="008B045E">
            <w:pPr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686">
              <w:rPr>
                <w:rFonts w:ascii="Times New Roman" w:hAnsi="Times New Roman"/>
                <w:sz w:val="24"/>
                <w:szCs w:val="24"/>
                <w:lang w:eastAsia="ru-RU"/>
              </w:rPr>
              <w:t>Прийом та видача документів для надання адміністративних послуг з</w:t>
            </w:r>
            <w:r w:rsidR="00636D77" w:rsidRPr="00993686">
              <w:rPr>
                <w:rFonts w:ascii="Times New Roman" w:hAnsi="Times New Roman"/>
                <w:sz w:val="24"/>
                <w:szCs w:val="24"/>
                <w:lang w:eastAsia="ru-RU"/>
              </w:rPr>
              <w:t>дійснюю</w:t>
            </w:r>
            <w:r w:rsidRPr="0099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ться  з 9.00 до 16.00 години (вівторок, четвер – до 20.00 години), без перерви </w:t>
            </w:r>
          </w:p>
        </w:tc>
      </w:tr>
      <w:tr w:rsidR="00014092" w:rsidRPr="00993686" w:rsidTr="00664B52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93686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9368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93686" w:rsidRDefault="00014092" w:rsidP="0066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Телефон/факс (довідки), адреса електронної пошти та веб-сайт центру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93686" w:rsidRDefault="00014092" w:rsidP="0066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6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Тел.: </w:t>
            </w:r>
            <w:r w:rsidR="000B5F4C" w:rsidRPr="00993686">
              <w:rPr>
                <w:rFonts w:ascii="Times New Roman" w:hAnsi="Times New Roman"/>
                <w:sz w:val="24"/>
                <w:szCs w:val="24"/>
                <w:lang w:eastAsia="ru-RU"/>
              </w:rPr>
              <w:t>0-800-500-459</w:t>
            </w:r>
          </w:p>
          <w:p w:rsidR="00014092" w:rsidRPr="00993686" w:rsidRDefault="00014092" w:rsidP="0066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3686">
              <w:rPr>
                <w:rFonts w:ascii="Times New Roman" w:hAnsi="Times New Roman"/>
                <w:sz w:val="24"/>
                <w:szCs w:val="24"/>
                <w:lang w:eastAsia="ru-RU"/>
              </w:rPr>
              <w:t>viza</w:t>
            </w:r>
            <w:proofErr w:type="spellEnd"/>
            <w:r w:rsidRPr="00993686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993686">
              <w:rPr>
                <w:rFonts w:ascii="Times New Roman" w:hAnsi="Times New Roman"/>
                <w:sz w:val="24"/>
                <w:szCs w:val="24"/>
                <w:lang w:eastAsia="ru-RU"/>
              </w:rPr>
              <w:t>kr.gov.ua</w:t>
            </w:r>
            <w:proofErr w:type="spellEnd"/>
            <w:r w:rsidRPr="00993686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014092" w:rsidRPr="00993686" w:rsidRDefault="00014092" w:rsidP="0066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3686">
              <w:rPr>
                <w:rFonts w:ascii="Times New Roman" w:hAnsi="Times New Roman"/>
                <w:sz w:val="24"/>
                <w:szCs w:val="24"/>
                <w:lang w:eastAsia="ru-RU"/>
              </w:rPr>
              <w:t>www.kr.gov.ua</w:t>
            </w:r>
            <w:proofErr w:type="spellEnd"/>
            <w:r w:rsidRPr="00993686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796FE3" w:rsidRPr="00993686" w:rsidRDefault="00796FE3" w:rsidP="008B0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3686">
              <w:rPr>
                <w:rFonts w:ascii="Times New Roman" w:hAnsi="Times New Roman"/>
                <w:sz w:val="24"/>
                <w:szCs w:val="24"/>
                <w:lang w:eastAsia="ru-RU"/>
              </w:rPr>
              <w:t>www.kroqerс.info</w:t>
            </w:r>
            <w:proofErr w:type="spellEnd"/>
          </w:p>
        </w:tc>
      </w:tr>
      <w:tr w:rsidR="00014092" w:rsidRPr="00993686" w:rsidTr="00D50C0A">
        <w:trPr>
          <w:trHeight w:val="213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93686" w:rsidRDefault="00014092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993686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Нормативні акти, якими регламентується надання адміністративної послуги</w:t>
            </w:r>
          </w:p>
        </w:tc>
      </w:tr>
      <w:tr w:rsidR="00014092" w:rsidRPr="00993686" w:rsidTr="00664B52">
        <w:trPr>
          <w:trHeight w:val="5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FB6" w:rsidRPr="00993686" w:rsidRDefault="00014092" w:rsidP="003B1D2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9368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FB6" w:rsidRPr="00993686" w:rsidRDefault="00014092" w:rsidP="003B1D2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3686">
              <w:rPr>
                <w:rFonts w:ascii="Times New Roman" w:hAnsi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E3" w:rsidRPr="00993686" w:rsidRDefault="003B1D21" w:rsidP="008B045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368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Пункт 9 розділу V «Прикінцеві положення» </w:t>
            </w:r>
            <w:r w:rsidR="00014092" w:rsidRPr="00993686">
              <w:rPr>
                <w:rFonts w:ascii="Times New Roman" w:hAnsi="Times New Roman"/>
                <w:sz w:val="24"/>
                <w:szCs w:val="24"/>
                <w:lang w:eastAsia="ar-SA"/>
              </w:rPr>
              <w:t>Закон</w:t>
            </w:r>
            <w:r w:rsidRPr="00993686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="00014092" w:rsidRPr="0099368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України «Про регулювання містобудівної діяльності», </w:t>
            </w:r>
            <w:r w:rsidR="008B045E" w:rsidRPr="0099368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Закон України </w:t>
            </w:r>
            <w:r w:rsidR="00014092" w:rsidRPr="00993686">
              <w:rPr>
                <w:rFonts w:ascii="Times New Roman" w:hAnsi="Times New Roman"/>
                <w:sz w:val="24"/>
                <w:szCs w:val="24"/>
                <w:lang w:eastAsia="ar-SA"/>
              </w:rPr>
              <w:t>«Про адміністративні послуги»</w:t>
            </w:r>
          </w:p>
        </w:tc>
      </w:tr>
      <w:tr w:rsidR="00014092" w:rsidRPr="00993686" w:rsidTr="00EB7C1B">
        <w:trPr>
          <w:trHeight w:val="3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93686" w:rsidRDefault="00014092" w:rsidP="00CB7D7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9368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93686" w:rsidRDefault="00014092" w:rsidP="00CB7D7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3686">
              <w:rPr>
                <w:rFonts w:ascii="Times New Roman" w:hAnsi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93686" w:rsidRDefault="003B1D21" w:rsidP="00CB7D77">
            <w:pPr>
              <w:suppressAutoHyphens/>
              <w:spacing w:after="0" w:line="240" w:lineRule="auto"/>
              <w:ind w:right="-51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993686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993686" w:rsidTr="00664B52">
        <w:trPr>
          <w:trHeight w:val="5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93686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9368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93686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3686">
              <w:rPr>
                <w:rFonts w:ascii="Times New Roman" w:hAnsi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E3" w:rsidRPr="00993686" w:rsidRDefault="003B1D21" w:rsidP="007A0EE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3686">
              <w:rPr>
                <w:rFonts w:ascii="Times New Roman" w:hAnsi="Times New Roman"/>
                <w:sz w:val="24"/>
                <w:szCs w:val="24"/>
                <w:lang w:eastAsia="ar-SA"/>
              </w:rPr>
              <w:t>Наказ Міністерства регіонального розвитку, будівництва та житлово-комунального господарства України від 03</w:t>
            </w:r>
            <w:r w:rsidR="008B045E" w:rsidRPr="0099368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липня </w:t>
            </w:r>
            <w:r w:rsidRPr="0099368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2018 </w:t>
            </w:r>
            <w:r w:rsidR="008B045E" w:rsidRPr="0099368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року №158 </w:t>
            </w:r>
            <w:r w:rsidRPr="0099368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«Порядок проведення технічного обстеження і прийняття в експлуатацію індивідуальних (садибних) житлових будинків, садових, дачних будинків, господарських (присадибних) будівель і споруд, будівель і споруд сільськогосподарського призначення, що за класом наслідків (відповідальності) належать до об'єктів з незначними наслідками (СС1), збудовані на </w:t>
            </w:r>
            <w:r w:rsidRPr="00993686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земельній ділянці відповідного цільового призначення без дозвільного документа на виконання будівельних робіт» (надалі – Порядок)</w:t>
            </w:r>
          </w:p>
        </w:tc>
      </w:tr>
      <w:tr w:rsidR="00014092" w:rsidRPr="00993686" w:rsidTr="00664B52">
        <w:trPr>
          <w:trHeight w:val="8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93686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9368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93686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3686">
              <w:rPr>
                <w:rFonts w:ascii="Times New Roman" w:hAnsi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93686" w:rsidRDefault="00014092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3686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993686" w:rsidTr="00D50C0A">
        <w:trPr>
          <w:trHeight w:val="222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93686" w:rsidRDefault="00014092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993686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Умови отримання адміністративної послуги</w:t>
            </w:r>
          </w:p>
        </w:tc>
      </w:tr>
      <w:tr w:rsidR="00014092" w:rsidRPr="00993686" w:rsidTr="006234A5">
        <w:trPr>
          <w:trHeight w:val="6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93686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9368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93686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3686">
              <w:rPr>
                <w:rFonts w:ascii="Times New Roman" w:hAnsi="Times New Roman"/>
                <w:sz w:val="24"/>
                <w:szCs w:val="24"/>
                <w:lang w:eastAsia="ar-SA"/>
              </w:rPr>
              <w:t>Підстава для одержання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E3" w:rsidRPr="00993686" w:rsidRDefault="00E05680" w:rsidP="00796FE3">
            <w:pPr>
              <w:pStyle w:val="ab"/>
              <w:spacing w:before="0" w:beforeAutospacing="0" w:after="0" w:afterAutospacing="0"/>
              <w:jc w:val="both"/>
              <w:rPr>
                <w:lang w:val="uk-UA" w:eastAsia="ar-SA"/>
              </w:rPr>
            </w:pPr>
            <w:r w:rsidRPr="00993686">
              <w:rPr>
                <w:rFonts w:eastAsia="Calibri"/>
                <w:lang w:val="uk-UA" w:eastAsia="ar-SA"/>
              </w:rPr>
              <w:t>Заява, наявність відповідного пакету документів</w:t>
            </w:r>
          </w:p>
        </w:tc>
      </w:tr>
      <w:tr w:rsidR="007C6C10" w:rsidRPr="00993686" w:rsidTr="00DE5265">
        <w:trPr>
          <w:trHeight w:val="1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93686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9368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93686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3686">
              <w:rPr>
                <w:rFonts w:ascii="Times New Roman" w:hAnsi="Times New Roman"/>
                <w:sz w:val="24"/>
                <w:szCs w:val="24"/>
                <w:lang w:eastAsia="ar-S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59" w:rsidRPr="00993686" w:rsidRDefault="00E06B82" w:rsidP="00D73259">
            <w:pPr>
              <w:pStyle w:val="ab"/>
              <w:spacing w:before="0" w:beforeAutospacing="0" w:after="0" w:afterAutospacing="0"/>
              <w:jc w:val="both"/>
              <w:rPr>
                <w:rFonts w:eastAsia="Calibri"/>
                <w:lang w:val="uk-UA" w:eastAsia="ar-SA"/>
              </w:rPr>
            </w:pPr>
            <w:r w:rsidRPr="00993686">
              <w:rPr>
                <w:rFonts w:eastAsia="Calibri"/>
                <w:lang w:val="uk-UA" w:eastAsia="ar-SA"/>
              </w:rPr>
              <w:t xml:space="preserve">1. </w:t>
            </w:r>
            <w:r w:rsidR="00D73259" w:rsidRPr="00993686">
              <w:rPr>
                <w:rFonts w:eastAsia="Calibri"/>
                <w:lang w:val="uk-UA" w:eastAsia="ar-SA"/>
              </w:rPr>
              <w:t xml:space="preserve">Заява </w:t>
            </w:r>
            <w:r w:rsidR="00056A8B" w:rsidRPr="00993686">
              <w:rPr>
                <w:rFonts w:eastAsia="Calibri"/>
                <w:lang w:val="uk-UA" w:eastAsia="ar-SA"/>
              </w:rPr>
              <w:t xml:space="preserve">в </w:t>
            </w:r>
            <w:r w:rsidR="00D44977" w:rsidRPr="00993686">
              <w:rPr>
                <w:rFonts w:eastAsia="Calibri"/>
                <w:lang w:val="uk-UA" w:eastAsia="ar-SA"/>
              </w:rPr>
              <w:t>довільн</w:t>
            </w:r>
            <w:r w:rsidR="00056A8B" w:rsidRPr="00993686">
              <w:rPr>
                <w:rFonts w:eastAsia="Calibri"/>
                <w:lang w:val="uk-UA" w:eastAsia="ar-SA"/>
              </w:rPr>
              <w:t>ій</w:t>
            </w:r>
            <w:r w:rsidR="00D44977" w:rsidRPr="00993686">
              <w:rPr>
                <w:rFonts w:eastAsia="Calibri"/>
                <w:lang w:val="uk-UA" w:eastAsia="ar-SA"/>
              </w:rPr>
              <w:t xml:space="preserve"> форм</w:t>
            </w:r>
            <w:r w:rsidR="00056A8B" w:rsidRPr="00993686">
              <w:rPr>
                <w:rFonts w:eastAsia="Calibri"/>
                <w:lang w:val="uk-UA" w:eastAsia="ar-SA"/>
              </w:rPr>
              <w:t>і</w:t>
            </w:r>
            <w:r w:rsidR="00D44977" w:rsidRPr="00993686">
              <w:rPr>
                <w:rFonts w:eastAsia="Calibri"/>
                <w:lang w:val="uk-UA" w:eastAsia="ar-SA"/>
              </w:rPr>
              <w:t xml:space="preserve"> </w:t>
            </w:r>
            <w:r w:rsidR="00D73259" w:rsidRPr="00993686">
              <w:rPr>
                <w:rFonts w:eastAsia="Calibri"/>
                <w:lang w:val="uk-UA" w:eastAsia="ar-SA"/>
              </w:rPr>
              <w:t>про прийняття в експлуатацію об'єкта</w:t>
            </w:r>
            <w:r w:rsidRPr="00993686">
              <w:rPr>
                <w:rFonts w:eastAsia="Calibri"/>
                <w:lang w:val="uk-UA" w:eastAsia="ar-SA"/>
              </w:rPr>
              <w:t>.</w:t>
            </w:r>
          </w:p>
          <w:p w:rsidR="00D73259" w:rsidRPr="00993686" w:rsidRDefault="00E06B82" w:rsidP="00D73259">
            <w:pPr>
              <w:pStyle w:val="ab"/>
              <w:spacing w:before="0" w:beforeAutospacing="0" w:after="0" w:afterAutospacing="0"/>
              <w:jc w:val="both"/>
              <w:rPr>
                <w:rFonts w:eastAsia="Calibri"/>
                <w:lang w:val="uk-UA" w:eastAsia="ar-SA"/>
              </w:rPr>
            </w:pPr>
            <w:r w:rsidRPr="00993686">
              <w:rPr>
                <w:rFonts w:eastAsia="Calibri"/>
                <w:lang w:val="uk-UA" w:eastAsia="ar-SA"/>
              </w:rPr>
              <w:t>2.</w:t>
            </w:r>
            <w:r w:rsidR="00D73259" w:rsidRPr="00993686">
              <w:rPr>
                <w:rFonts w:eastAsia="Calibri"/>
                <w:lang w:val="uk-UA" w:eastAsia="ar-SA"/>
              </w:rPr>
              <w:t xml:space="preserve"> </w:t>
            </w:r>
            <w:r w:rsidRPr="00993686">
              <w:rPr>
                <w:rFonts w:eastAsia="Calibri"/>
                <w:lang w:val="uk-UA" w:eastAsia="ar-SA"/>
              </w:rPr>
              <w:t>О</w:t>
            </w:r>
            <w:r w:rsidR="00D73259" w:rsidRPr="00993686">
              <w:rPr>
                <w:rFonts w:eastAsia="Calibri"/>
                <w:lang w:val="uk-UA" w:eastAsia="ar-SA"/>
              </w:rPr>
              <w:t>дин примірник заповненої декларації</w:t>
            </w:r>
            <w:r w:rsidR="009E55A2" w:rsidRPr="00993686">
              <w:rPr>
                <w:rFonts w:eastAsia="Calibri"/>
                <w:lang w:val="uk-UA" w:eastAsia="ar-SA"/>
              </w:rPr>
              <w:t xml:space="preserve"> про готовність об'єкта до експлуатації</w:t>
            </w:r>
            <w:r w:rsidR="00CB7D77" w:rsidRPr="00993686">
              <w:rPr>
                <w:rFonts w:eastAsia="Calibri"/>
                <w:lang w:val="uk-UA" w:eastAsia="ar-SA"/>
              </w:rPr>
              <w:t xml:space="preserve"> за формою встановленого зразка, згідно</w:t>
            </w:r>
            <w:r w:rsidR="0088487F" w:rsidRPr="00993686">
              <w:rPr>
                <w:rFonts w:eastAsia="Calibri"/>
                <w:lang w:val="uk-UA" w:eastAsia="ar-SA"/>
              </w:rPr>
              <w:t xml:space="preserve"> з</w:t>
            </w:r>
            <w:r w:rsidR="00CB7D77" w:rsidRPr="00993686">
              <w:rPr>
                <w:rFonts w:eastAsia="Calibri"/>
                <w:lang w:val="uk-UA" w:eastAsia="ar-SA"/>
              </w:rPr>
              <w:t xml:space="preserve"> Наказ</w:t>
            </w:r>
            <w:r w:rsidR="0088487F" w:rsidRPr="00993686">
              <w:rPr>
                <w:rFonts w:eastAsia="Calibri"/>
                <w:lang w:val="uk-UA" w:eastAsia="ar-SA"/>
              </w:rPr>
              <w:t>ом</w:t>
            </w:r>
            <w:r w:rsidR="00CB7D77" w:rsidRPr="00993686">
              <w:rPr>
                <w:rFonts w:eastAsia="Calibri"/>
                <w:lang w:val="uk-UA" w:eastAsia="ar-SA"/>
              </w:rPr>
              <w:t xml:space="preserve"> </w:t>
            </w:r>
            <w:r w:rsidR="00CB7D77" w:rsidRPr="00993686">
              <w:rPr>
                <w:lang w:val="uk-UA" w:eastAsia="ar-SA"/>
              </w:rPr>
              <w:t>Міністерства регіонального розвитку, будівництва та житлово-комунального господарства України від 03 липня 2018 року №158</w:t>
            </w:r>
            <w:r w:rsidRPr="00993686">
              <w:rPr>
                <w:rFonts w:eastAsia="Calibri"/>
                <w:lang w:val="uk-UA" w:eastAsia="ar-SA"/>
              </w:rPr>
              <w:t>.</w:t>
            </w:r>
          </w:p>
          <w:p w:rsidR="00D73259" w:rsidRPr="00993686" w:rsidRDefault="0017036E" w:rsidP="00D73259">
            <w:pPr>
              <w:pStyle w:val="ab"/>
              <w:spacing w:before="0" w:beforeAutospacing="0" w:after="0" w:afterAutospacing="0"/>
              <w:jc w:val="both"/>
              <w:rPr>
                <w:rFonts w:eastAsia="Calibri"/>
                <w:lang w:val="uk-UA" w:eastAsia="ar-SA"/>
              </w:rPr>
            </w:pPr>
            <w:r w:rsidRPr="00993686">
              <w:rPr>
                <w:rFonts w:eastAsia="Calibri"/>
                <w:lang w:val="uk-UA" w:eastAsia="ar-SA"/>
              </w:rPr>
              <w:t>3</w:t>
            </w:r>
            <w:r w:rsidR="00E06B82" w:rsidRPr="00993686">
              <w:rPr>
                <w:rFonts w:eastAsia="Calibri"/>
                <w:lang w:val="uk-UA" w:eastAsia="ar-SA"/>
              </w:rPr>
              <w:t>.</w:t>
            </w:r>
            <w:r w:rsidR="00D73259" w:rsidRPr="00993686">
              <w:rPr>
                <w:rFonts w:eastAsia="Calibri"/>
                <w:lang w:val="uk-UA" w:eastAsia="ar-SA"/>
              </w:rPr>
              <w:t xml:space="preserve"> </w:t>
            </w:r>
            <w:r w:rsidR="00E06B82" w:rsidRPr="00993686">
              <w:rPr>
                <w:rFonts w:eastAsia="Calibri"/>
                <w:lang w:val="uk-UA" w:eastAsia="ar-SA"/>
              </w:rPr>
              <w:t>З</w:t>
            </w:r>
            <w:r w:rsidR="00D73259" w:rsidRPr="00993686">
              <w:rPr>
                <w:rFonts w:eastAsia="Calibri"/>
                <w:lang w:val="uk-UA" w:eastAsia="ar-SA"/>
              </w:rPr>
              <w:t>асвідчені в установленому порядку копії:</w:t>
            </w:r>
          </w:p>
          <w:p w:rsidR="00D73259" w:rsidRPr="00993686" w:rsidRDefault="0017036E" w:rsidP="00E06B82">
            <w:pPr>
              <w:pStyle w:val="ab"/>
              <w:spacing w:before="0" w:beforeAutospacing="0" w:after="0" w:afterAutospacing="0"/>
              <w:jc w:val="both"/>
              <w:rPr>
                <w:rFonts w:eastAsia="Calibri"/>
                <w:lang w:val="uk-UA" w:eastAsia="ar-SA"/>
              </w:rPr>
            </w:pPr>
            <w:r w:rsidRPr="00993686">
              <w:rPr>
                <w:rFonts w:eastAsia="Calibri"/>
                <w:lang w:val="uk-UA" w:eastAsia="ar-SA"/>
              </w:rPr>
              <w:t>3</w:t>
            </w:r>
            <w:r w:rsidR="00E06B82" w:rsidRPr="00993686">
              <w:rPr>
                <w:rFonts w:eastAsia="Calibri"/>
                <w:lang w:val="uk-UA" w:eastAsia="ar-SA"/>
              </w:rPr>
              <w:t xml:space="preserve">.1 </w:t>
            </w:r>
            <w:r w:rsidR="00D73259" w:rsidRPr="00993686">
              <w:rPr>
                <w:rFonts w:eastAsia="Calibri"/>
                <w:lang w:val="uk-UA" w:eastAsia="ar-SA"/>
              </w:rPr>
              <w:t>документа, що посвідчує право власності чи користування земельною ділянкою відповідного цільового призначення, на якій розміщено об'єкт;</w:t>
            </w:r>
          </w:p>
          <w:p w:rsidR="0017036E" w:rsidRPr="00993686" w:rsidRDefault="0017036E" w:rsidP="0017036E">
            <w:pPr>
              <w:pStyle w:val="ab"/>
              <w:spacing w:before="0" w:beforeAutospacing="0" w:after="0" w:afterAutospacing="0"/>
              <w:jc w:val="both"/>
              <w:rPr>
                <w:rFonts w:eastAsia="Calibri"/>
                <w:lang w:val="uk-UA" w:eastAsia="ar-SA"/>
              </w:rPr>
            </w:pPr>
            <w:r w:rsidRPr="00993686">
              <w:rPr>
                <w:rFonts w:eastAsia="Calibri"/>
                <w:lang w:val="uk-UA" w:eastAsia="ar-SA"/>
              </w:rPr>
              <w:t>3</w:t>
            </w:r>
            <w:r w:rsidR="00E06B82" w:rsidRPr="00993686">
              <w:rPr>
                <w:rFonts w:eastAsia="Calibri"/>
                <w:lang w:val="uk-UA" w:eastAsia="ar-SA"/>
              </w:rPr>
              <w:t xml:space="preserve">.2 </w:t>
            </w:r>
            <w:r w:rsidR="00D73259" w:rsidRPr="00993686">
              <w:rPr>
                <w:rFonts w:eastAsia="Calibri"/>
                <w:lang w:val="uk-UA" w:eastAsia="ar-SA"/>
              </w:rPr>
              <w:t>технічного паспорта</w:t>
            </w:r>
            <w:r w:rsidRPr="00993686">
              <w:rPr>
                <w:rFonts w:eastAsia="Calibri"/>
                <w:lang w:val="uk-UA" w:eastAsia="ar-SA"/>
              </w:rPr>
              <w:t>.</w:t>
            </w:r>
            <w:r w:rsidR="0088487F" w:rsidRPr="00993686">
              <w:rPr>
                <w:rFonts w:eastAsia="Calibri"/>
                <w:lang w:val="uk-UA" w:eastAsia="ar-SA"/>
              </w:rPr>
              <w:t>*</w:t>
            </w:r>
          </w:p>
          <w:p w:rsidR="00796FE3" w:rsidRPr="00993686" w:rsidRDefault="0017036E" w:rsidP="007A0EEA">
            <w:pPr>
              <w:pStyle w:val="ab"/>
              <w:spacing w:before="0" w:beforeAutospacing="0" w:after="120" w:afterAutospacing="0"/>
              <w:jc w:val="both"/>
              <w:rPr>
                <w:lang w:val="uk-UA" w:eastAsia="ar-SA"/>
              </w:rPr>
            </w:pPr>
            <w:r w:rsidRPr="00993686">
              <w:rPr>
                <w:rFonts w:eastAsia="Calibri"/>
                <w:lang w:val="uk-UA" w:eastAsia="ar-SA"/>
              </w:rPr>
              <w:t>4. Звіт про проведення технічного обстеження (</w:t>
            </w:r>
            <w:r w:rsidR="00541A90" w:rsidRPr="00993686">
              <w:rPr>
                <w:rFonts w:eastAsia="Calibri"/>
                <w:lang w:val="uk-UA" w:eastAsia="ar-SA"/>
              </w:rPr>
              <w:t>надається у випадках</w:t>
            </w:r>
            <w:r w:rsidRPr="00993686">
              <w:rPr>
                <w:rFonts w:eastAsia="Calibri"/>
                <w:lang w:val="uk-UA" w:eastAsia="ar-SA"/>
              </w:rPr>
              <w:t xml:space="preserve">, </w:t>
            </w:r>
            <w:r w:rsidR="00541A90" w:rsidRPr="00993686">
              <w:rPr>
                <w:rFonts w:eastAsia="Calibri"/>
                <w:lang w:val="uk-UA" w:eastAsia="ar-SA"/>
              </w:rPr>
              <w:t xml:space="preserve">коли </w:t>
            </w:r>
            <w:r w:rsidR="00541A90" w:rsidRPr="00993686">
              <w:rPr>
                <w:rFonts w:cs="Calibri"/>
                <w:lang w:val="uk-UA" w:eastAsia="ar-SA"/>
              </w:rPr>
              <w:t xml:space="preserve">на об'єктах, на які поширюється дія Порядку, </w:t>
            </w:r>
            <w:r w:rsidR="00541A90" w:rsidRPr="00993686">
              <w:rPr>
                <w:lang w:val="uk-UA"/>
              </w:rPr>
              <w:t xml:space="preserve">загальна площа </w:t>
            </w:r>
            <w:r w:rsidRPr="00993686">
              <w:rPr>
                <w:lang w:val="uk-UA"/>
              </w:rPr>
              <w:t xml:space="preserve">господарських (присадибних) будівель і споруд </w:t>
            </w:r>
            <w:r w:rsidR="00541A90" w:rsidRPr="00993686">
              <w:rPr>
                <w:lang w:val="uk-UA"/>
              </w:rPr>
              <w:t>перевищує</w:t>
            </w:r>
            <w:r w:rsidRPr="00993686">
              <w:rPr>
                <w:lang w:val="uk-UA"/>
              </w:rPr>
              <w:t xml:space="preserve"> 100 квадратних метрів</w:t>
            </w:r>
            <w:r w:rsidR="007A0EEA" w:rsidRPr="00993686">
              <w:rPr>
                <w:lang w:val="uk-UA"/>
              </w:rPr>
              <w:t xml:space="preserve"> та для будівель і споруд сільськогосподарського призначення</w:t>
            </w:r>
            <w:r w:rsidRPr="00993686">
              <w:rPr>
                <w:rFonts w:eastAsia="Calibri"/>
                <w:lang w:val="uk-UA" w:eastAsia="ar-SA"/>
              </w:rPr>
              <w:t>)</w:t>
            </w:r>
          </w:p>
        </w:tc>
      </w:tr>
      <w:tr w:rsidR="007C6C10" w:rsidRPr="00993686" w:rsidTr="00664B52">
        <w:trPr>
          <w:trHeight w:val="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93686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9368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93686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368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93686" w:rsidRDefault="00EB7C1B" w:rsidP="007A0EE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3686">
              <w:rPr>
                <w:rFonts w:ascii="Times New Roman" w:hAnsi="Times New Roman"/>
                <w:sz w:val="24"/>
                <w:szCs w:val="24"/>
                <w:lang w:eastAsia="ar-SA"/>
              </w:rPr>
              <w:t>Особисто з</w:t>
            </w:r>
            <w:r w:rsidR="00096482" w:rsidRPr="00993686">
              <w:rPr>
                <w:rFonts w:ascii="Times New Roman" w:hAnsi="Times New Roman"/>
                <w:sz w:val="24"/>
                <w:szCs w:val="24"/>
                <w:lang w:eastAsia="ar-SA"/>
              </w:rPr>
              <w:t>амовник</w:t>
            </w:r>
            <w:r w:rsidRPr="00993686">
              <w:rPr>
                <w:rFonts w:ascii="Times New Roman" w:hAnsi="Times New Roman"/>
                <w:sz w:val="24"/>
                <w:szCs w:val="24"/>
                <w:lang w:eastAsia="ar-SA"/>
              </w:rPr>
              <w:t>ом</w:t>
            </w:r>
            <w:r w:rsidR="00096482" w:rsidRPr="0099368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(або уповноважен</w:t>
            </w:r>
            <w:r w:rsidRPr="00993686">
              <w:rPr>
                <w:rFonts w:ascii="Times New Roman" w:hAnsi="Times New Roman"/>
                <w:sz w:val="24"/>
                <w:szCs w:val="24"/>
                <w:lang w:eastAsia="ar-SA"/>
              </w:rPr>
              <w:t>ою</w:t>
            </w:r>
            <w:r w:rsidR="00096482" w:rsidRPr="0099368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особ</w:t>
            </w:r>
            <w:r w:rsidRPr="00993686">
              <w:rPr>
                <w:rFonts w:ascii="Times New Roman" w:hAnsi="Times New Roman"/>
                <w:sz w:val="24"/>
                <w:szCs w:val="24"/>
                <w:lang w:eastAsia="ar-SA"/>
              </w:rPr>
              <w:t>ою на підставі відповідних документів</w:t>
            </w:r>
            <w:r w:rsidR="00096482" w:rsidRPr="0099368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) </w:t>
            </w:r>
            <w:r w:rsidRPr="00993686">
              <w:rPr>
                <w:rFonts w:ascii="Times New Roman" w:hAnsi="Times New Roman"/>
                <w:sz w:val="24"/>
                <w:szCs w:val="24"/>
                <w:lang w:eastAsia="ar-SA"/>
              </w:rPr>
              <w:t>шляхом звернення до Центру</w:t>
            </w:r>
            <w:r w:rsidR="007B0EF0" w:rsidRPr="0099368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096482" w:rsidRPr="00993686">
              <w:rPr>
                <w:rFonts w:ascii="Times New Roman" w:hAnsi="Times New Roman"/>
                <w:sz w:val="24"/>
                <w:szCs w:val="24"/>
                <w:lang w:eastAsia="ar-SA"/>
              </w:rPr>
              <w:t>подає</w:t>
            </w:r>
            <w:r w:rsidR="00056A8B" w:rsidRPr="00993686">
              <w:rPr>
                <w:rFonts w:ascii="Times New Roman" w:hAnsi="Times New Roman"/>
                <w:sz w:val="24"/>
                <w:szCs w:val="24"/>
                <w:lang w:eastAsia="ar-SA"/>
              </w:rPr>
              <w:t>ться</w:t>
            </w:r>
            <w:r w:rsidR="00096482" w:rsidRPr="0099368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до органу державного</w:t>
            </w:r>
            <w:r w:rsidR="00D920A7" w:rsidRPr="0099368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096482" w:rsidRPr="00993686">
              <w:rPr>
                <w:rFonts w:ascii="Times New Roman" w:hAnsi="Times New Roman"/>
                <w:sz w:val="24"/>
                <w:szCs w:val="24"/>
                <w:lang w:eastAsia="ar-SA"/>
              </w:rPr>
              <w:t>архіте</w:t>
            </w:r>
            <w:r w:rsidR="00D920A7" w:rsidRPr="0099368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ктурно-будівельного контролю </w:t>
            </w:r>
            <w:r w:rsidR="008B045E" w:rsidRPr="00993686">
              <w:rPr>
                <w:rFonts w:ascii="Times New Roman" w:hAnsi="Times New Roman"/>
                <w:sz w:val="24"/>
                <w:szCs w:val="24"/>
                <w:lang w:eastAsia="ar-SA"/>
              </w:rPr>
              <w:t>заяв</w:t>
            </w:r>
            <w:r w:rsidR="00056A8B" w:rsidRPr="00993686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="008B045E" w:rsidRPr="0099368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про прийняття в експлуатацію об'єкта з пакетом документів, </w:t>
            </w:r>
            <w:r w:rsidR="00D920A7" w:rsidRPr="0099368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 </w:t>
            </w:r>
            <w:r w:rsidR="00096482" w:rsidRPr="00993686">
              <w:rPr>
                <w:rFonts w:ascii="Times New Roman" w:hAnsi="Times New Roman"/>
                <w:sz w:val="24"/>
                <w:szCs w:val="24"/>
                <w:lang w:eastAsia="ar-SA"/>
              </w:rPr>
              <w:t>місцезнаходженням об’єкта</w:t>
            </w:r>
          </w:p>
        </w:tc>
      </w:tr>
      <w:tr w:rsidR="007C6C10" w:rsidRPr="00993686" w:rsidTr="00605D3B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93686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9368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93686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3686">
              <w:rPr>
                <w:rFonts w:ascii="Times New Roman" w:hAnsi="Times New Roman"/>
                <w:sz w:val="24"/>
                <w:szCs w:val="24"/>
                <w:lang w:eastAsia="ar-SA"/>
              </w:rPr>
              <w:t>Платність/безоплатність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93686" w:rsidRDefault="00014092" w:rsidP="00664B5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3686">
              <w:rPr>
                <w:rFonts w:ascii="Times New Roman" w:hAnsi="Times New Roman"/>
                <w:sz w:val="24"/>
                <w:szCs w:val="24"/>
                <w:lang w:eastAsia="ar-SA"/>
              </w:rPr>
              <w:t>Безоплатно</w:t>
            </w:r>
          </w:p>
        </w:tc>
      </w:tr>
      <w:tr w:rsidR="007C6C10" w:rsidRPr="00993686" w:rsidTr="00664B52"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93686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993686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 разі оплати адміністративної послуги:</w:t>
            </w:r>
          </w:p>
        </w:tc>
      </w:tr>
      <w:tr w:rsidR="007C6C10" w:rsidRPr="00993686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93686" w:rsidRDefault="00014092" w:rsidP="006C6F3D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9368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93686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3686">
              <w:rPr>
                <w:rFonts w:ascii="Times New Roman" w:hAnsi="Times New Roman"/>
                <w:sz w:val="24"/>
                <w:szCs w:val="24"/>
                <w:lang w:eastAsia="ar-SA"/>
              </w:rPr>
              <w:t>Нормативно-правові акти, на підставі яких стягується плата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93686" w:rsidRDefault="00014092" w:rsidP="00664B52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3686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C6C10" w:rsidRPr="00993686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93686" w:rsidRDefault="006C6F3D" w:rsidP="006C6F3D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9368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93686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3686">
              <w:rPr>
                <w:rFonts w:ascii="Times New Roman" w:hAnsi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93686" w:rsidRDefault="00014092" w:rsidP="00664B52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3686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C6C10" w:rsidRPr="00993686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93686" w:rsidRDefault="00014092" w:rsidP="006C6F3D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9368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93686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3686">
              <w:rPr>
                <w:rFonts w:ascii="Times New Roman" w:hAnsi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93686" w:rsidRDefault="00014092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3686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C6C10" w:rsidRPr="00993686" w:rsidTr="00605D3B">
        <w:trPr>
          <w:trHeight w:val="2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93686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9368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93686" w:rsidRDefault="00014092" w:rsidP="00605D3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3686">
              <w:rPr>
                <w:rFonts w:ascii="Times New Roman" w:hAnsi="Times New Roman"/>
                <w:sz w:val="24"/>
                <w:szCs w:val="24"/>
                <w:lang w:eastAsia="ar-SA"/>
              </w:rPr>
              <w:t>Строк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93686" w:rsidRDefault="003E11A7" w:rsidP="003B1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686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6234A5" w:rsidRPr="00993686">
              <w:rPr>
                <w:rFonts w:ascii="Times New Roman" w:hAnsi="Times New Roman"/>
                <w:sz w:val="24"/>
                <w:szCs w:val="24"/>
              </w:rPr>
              <w:t>10</w:t>
            </w:r>
            <w:r w:rsidR="00014092" w:rsidRPr="009936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34A5" w:rsidRPr="00993686">
              <w:rPr>
                <w:rFonts w:ascii="Times New Roman" w:hAnsi="Times New Roman"/>
                <w:sz w:val="24"/>
                <w:szCs w:val="24"/>
              </w:rPr>
              <w:t>робочих</w:t>
            </w:r>
            <w:r w:rsidR="00014092" w:rsidRPr="00993686">
              <w:rPr>
                <w:rFonts w:ascii="Times New Roman" w:hAnsi="Times New Roman"/>
                <w:sz w:val="24"/>
                <w:szCs w:val="24"/>
              </w:rPr>
              <w:t xml:space="preserve"> днів з дня </w:t>
            </w:r>
            <w:r w:rsidR="003B1D21" w:rsidRPr="00993686">
              <w:rPr>
                <w:rFonts w:ascii="Times New Roman" w:hAnsi="Times New Roman"/>
                <w:sz w:val="24"/>
                <w:szCs w:val="24"/>
              </w:rPr>
              <w:t>подання заяви</w:t>
            </w:r>
            <w:r w:rsidR="008B045E" w:rsidRPr="00993686">
              <w:rPr>
                <w:rFonts w:ascii="Times New Roman" w:hAnsi="Times New Roman"/>
                <w:sz w:val="24"/>
                <w:szCs w:val="24"/>
              </w:rPr>
              <w:t xml:space="preserve"> з пакетом документів </w:t>
            </w:r>
          </w:p>
        </w:tc>
      </w:tr>
      <w:tr w:rsidR="007C6C10" w:rsidRPr="00993686" w:rsidTr="007A0EEA">
        <w:trPr>
          <w:trHeight w:val="3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93686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9368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93686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3686">
              <w:rPr>
                <w:rFonts w:ascii="Times New Roman" w:hAnsi="Times New Roman"/>
                <w:sz w:val="24"/>
                <w:szCs w:val="24"/>
                <w:lang w:eastAsia="ar-SA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275" w:rsidRPr="00993686" w:rsidRDefault="00984275" w:rsidP="00984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68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B0EF0" w:rsidRPr="00993686">
              <w:rPr>
                <w:rFonts w:ascii="Times New Roman" w:hAnsi="Times New Roman"/>
                <w:sz w:val="24"/>
                <w:szCs w:val="24"/>
              </w:rPr>
              <w:t xml:space="preserve">Подання чи оформлення декларації </w:t>
            </w:r>
            <w:r w:rsidRPr="00993686">
              <w:rPr>
                <w:rFonts w:ascii="Times New Roman" w:hAnsi="Times New Roman"/>
                <w:sz w:val="24"/>
                <w:szCs w:val="24"/>
              </w:rPr>
              <w:t xml:space="preserve">про готовність об'єкта до експлуатації </w:t>
            </w:r>
            <w:r w:rsidR="007B0EF0" w:rsidRPr="00993686">
              <w:rPr>
                <w:rFonts w:ascii="Times New Roman" w:hAnsi="Times New Roman"/>
                <w:sz w:val="24"/>
                <w:szCs w:val="24"/>
              </w:rPr>
              <w:t>з порушенням вимог нормативно-правових актів</w:t>
            </w:r>
            <w:r w:rsidRPr="0099368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4275" w:rsidRPr="00993686" w:rsidRDefault="00984275" w:rsidP="00984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686">
              <w:rPr>
                <w:rFonts w:ascii="Times New Roman" w:hAnsi="Times New Roman"/>
                <w:sz w:val="24"/>
                <w:szCs w:val="24"/>
              </w:rPr>
              <w:t>2.</w:t>
            </w:r>
            <w:r w:rsidR="003310BC" w:rsidRPr="009936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3686">
              <w:rPr>
                <w:rFonts w:ascii="Times New Roman" w:hAnsi="Times New Roman"/>
                <w:sz w:val="24"/>
                <w:szCs w:val="24"/>
              </w:rPr>
              <w:t>Н</w:t>
            </w:r>
            <w:r w:rsidR="003310BC" w:rsidRPr="00993686">
              <w:rPr>
                <w:rFonts w:ascii="Times New Roman" w:hAnsi="Times New Roman"/>
                <w:sz w:val="24"/>
                <w:szCs w:val="24"/>
              </w:rPr>
              <w:t>евідповідн</w:t>
            </w:r>
            <w:r w:rsidRPr="00993686">
              <w:rPr>
                <w:rFonts w:ascii="Times New Roman" w:hAnsi="Times New Roman"/>
                <w:sz w:val="24"/>
                <w:szCs w:val="24"/>
              </w:rPr>
              <w:t>і</w:t>
            </w:r>
            <w:r w:rsidR="003310BC" w:rsidRPr="00993686">
              <w:rPr>
                <w:rFonts w:ascii="Times New Roman" w:hAnsi="Times New Roman"/>
                <w:sz w:val="24"/>
                <w:szCs w:val="24"/>
              </w:rPr>
              <w:t>ст</w:t>
            </w:r>
            <w:r w:rsidRPr="00993686">
              <w:rPr>
                <w:rFonts w:ascii="Times New Roman" w:hAnsi="Times New Roman"/>
                <w:sz w:val="24"/>
                <w:szCs w:val="24"/>
              </w:rPr>
              <w:t>ь</w:t>
            </w:r>
            <w:r w:rsidR="003310BC" w:rsidRPr="00993686">
              <w:rPr>
                <w:rFonts w:ascii="Times New Roman" w:hAnsi="Times New Roman"/>
                <w:sz w:val="24"/>
                <w:szCs w:val="24"/>
              </w:rPr>
              <w:t xml:space="preserve"> поданих документів вимогам законодавства</w:t>
            </w:r>
          </w:p>
          <w:p w:rsidR="00014092" w:rsidRPr="00993686" w:rsidRDefault="00984275" w:rsidP="00984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686">
              <w:rPr>
                <w:rFonts w:ascii="Times New Roman" w:hAnsi="Times New Roman"/>
                <w:sz w:val="24"/>
                <w:szCs w:val="24"/>
              </w:rPr>
              <w:t>3.</w:t>
            </w:r>
            <w:r w:rsidR="003310BC" w:rsidRPr="009936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3686">
              <w:rPr>
                <w:rFonts w:ascii="Times New Roman" w:hAnsi="Times New Roman"/>
                <w:sz w:val="24"/>
                <w:szCs w:val="24"/>
              </w:rPr>
              <w:t xml:space="preserve">Виявлення </w:t>
            </w:r>
            <w:r w:rsidR="003310BC" w:rsidRPr="00993686">
              <w:rPr>
                <w:rFonts w:ascii="Times New Roman" w:hAnsi="Times New Roman"/>
                <w:sz w:val="24"/>
                <w:szCs w:val="24"/>
              </w:rPr>
              <w:t xml:space="preserve">недостовірних відомостей у поданих </w:t>
            </w:r>
            <w:r w:rsidR="003310BC" w:rsidRPr="00993686">
              <w:rPr>
                <w:rFonts w:ascii="Times New Roman" w:hAnsi="Times New Roman"/>
                <w:sz w:val="24"/>
                <w:szCs w:val="24"/>
              </w:rPr>
              <w:lastRenderedPageBreak/>
              <w:t>документах</w:t>
            </w:r>
          </w:p>
        </w:tc>
      </w:tr>
      <w:tr w:rsidR="007C6C10" w:rsidRPr="00993686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93686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9368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93686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3686">
              <w:rPr>
                <w:rFonts w:ascii="Times New Roman" w:hAnsi="Times New Roman"/>
                <w:sz w:val="24"/>
                <w:szCs w:val="24"/>
                <w:lang w:eastAsia="ar-SA"/>
              </w:rPr>
              <w:t>Результат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93686" w:rsidRDefault="007B0EF0" w:rsidP="00115F20">
            <w:pPr>
              <w:suppressAutoHyphens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3686">
              <w:rPr>
                <w:rFonts w:ascii="Times New Roman" w:hAnsi="Times New Roman"/>
                <w:sz w:val="24"/>
                <w:szCs w:val="24"/>
              </w:rPr>
              <w:t>Реєстрація декларації про готовність об'єкта до експлуатації</w:t>
            </w:r>
          </w:p>
        </w:tc>
      </w:tr>
      <w:tr w:rsidR="007C6C10" w:rsidRPr="00993686" w:rsidTr="00FB1D25">
        <w:trPr>
          <w:trHeight w:val="16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93686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9368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93686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3686">
              <w:rPr>
                <w:rFonts w:ascii="Times New Roman" w:hAnsi="Times New Roman"/>
                <w:sz w:val="24"/>
                <w:szCs w:val="24"/>
                <w:lang w:eastAsia="ar-SA"/>
              </w:rPr>
              <w:t>Спосіб отримання результату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93686" w:rsidRDefault="007B0EF0" w:rsidP="00115F20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686">
              <w:rPr>
                <w:rFonts w:ascii="Times New Roman" w:hAnsi="Times New Roman"/>
                <w:sz w:val="24"/>
                <w:szCs w:val="24"/>
              </w:rPr>
              <w:t>Інформація щодо зареєстрованої декларації про готовність об'єкта до експлуатації розміщується на офіційному сайті Державної архітектурно-будівельної інспекції України</w:t>
            </w:r>
            <w:r w:rsidR="009E55A2" w:rsidRPr="0099368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9E55A2" w:rsidRPr="00993686">
              <w:rPr>
                <w:rFonts w:ascii="Times New Roman" w:hAnsi="Times New Roman"/>
                <w:sz w:val="24"/>
                <w:szCs w:val="24"/>
              </w:rPr>
              <w:t>www.dabi.gov.ua</w:t>
            </w:r>
            <w:proofErr w:type="spellEnd"/>
            <w:r w:rsidR="009E55A2" w:rsidRPr="00993686">
              <w:rPr>
                <w:rFonts w:ascii="Times New Roman" w:hAnsi="Times New Roman"/>
                <w:sz w:val="24"/>
                <w:szCs w:val="24"/>
              </w:rPr>
              <w:t>)</w:t>
            </w:r>
            <w:r w:rsidRPr="00993686">
              <w:rPr>
                <w:rFonts w:ascii="Times New Roman" w:hAnsi="Times New Roman"/>
                <w:sz w:val="24"/>
                <w:szCs w:val="24"/>
              </w:rPr>
              <w:t xml:space="preserve"> в розділі «Реєстр дозвільних документів» єдиного реєстру документів, що дають право </w:t>
            </w:r>
            <w:r w:rsidR="00BA7B4E" w:rsidRPr="00993686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9C0EFC" w:rsidRPr="00993686">
              <w:rPr>
                <w:rFonts w:ascii="Times New Roman" w:hAnsi="Times New Roman"/>
                <w:sz w:val="24"/>
                <w:szCs w:val="24"/>
              </w:rPr>
              <w:t>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</w:t>
            </w:r>
            <w:r w:rsidR="00BA7B4E" w:rsidRPr="00993686">
              <w:rPr>
                <w:rFonts w:ascii="Times New Roman" w:hAnsi="Times New Roman"/>
                <w:sz w:val="24"/>
                <w:szCs w:val="24"/>
              </w:rPr>
              <w:t>кументів</w:t>
            </w:r>
          </w:p>
        </w:tc>
      </w:tr>
      <w:tr w:rsidR="00014092" w:rsidRPr="00993686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93686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9368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93686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3686">
              <w:rPr>
                <w:rFonts w:ascii="Times New Roman" w:hAnsi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0BC" w:rsidRPr="00993686" w:rsidRDefault="003310BC" w:rsidP="003310BC">
            <w:pPr>
              <w:pStyle w:val="rvps2"/>
              <w:suppressAutoHyphens/>
              <w:snapToGrid w:val="0"/>
              <w:spacing w:before="0" w:beforeAutospacing="0" w:after="0" w:afterAutospacing="0"/>
              <w:jc w:val="both"/>
              <w:rPr>
                <w:lang w:val="uk-UA"/>
              </w:rPr>
            </w:pPr>
            <w:r w:rsidRPr="00993686">
              <w:rPr>
                <w:lang w:val="uk-UA"/>
              </w:rPr>
              <w:t xml:space="preserve">Орган державного архітектурно-будівельного контролю </w:t>
            </w:r>
            <w:r w:rsidR="004832F0" w:rsidRPr="00993686">
              <w:rPr>
                <w:lang w:val="uk-UA"/>
              </w:rPr>
              <w:t xml:space="preserve">через Центр </w:t>
            </w:r>
            <w:r w:rsidRPr="00993686">
              <w:rPr>
                <w:lang w:val="uk-UA"/>
              </w:rPr>
              <w:t>повертає замовнику</w:t>
            </w:r>
            <w:r w:rsidR="004832F0" w:rsidRPr="00993686">
              <w:rPr>
                <w:lang w:val="uk-UA"/>
              </w:rPr>
              <w:t xml:space="preserve"> (або уповноваженій особі на підставі відповідних документів)</w:t>
            </w:r>
            <w:r w:rsidRPr="00993686">
              <w:rPr>
                <w:lang w:val="uk-UA"/>
              </w:rPr>
              <w:t xml:space="preserve"> декларацію та подані документи на доопрацювання з обґрунтуванням причин у строк, передбачений для її реєстрації, якщо декларацію подано чи оформлено з порушенням вимог, установлених Порядком, у тому числі в разі виявлення невідповідності поданих документів вимогам законодавства, недостовірних відомостей у поданих документах.</w:t>
            </w:r>
          </w:p>
          <w:p w:rsidR="000E296B" w:rsidRPr="00993686" w:rsidRDefault="000E296B" w:rsidP="00305E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n55"/>
            <w:bookmarkEnd w:id="1"/>
            <w:r w:rsidRPr="0099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результатами проведення технічного обстеження в експлуатацію приймаються об’єкти:</w:t>
            </w:r>
          </w:p>
          <w:p w:rsidR="000E296B" w:rsidRPr="00993686" w:rsidRDefault="000E296B" w:rsidP="00305E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індивідуальні (садибні) житлові будинки, садові, дачні будинки загальною площею до 300 кв. м, а також господарські (присадибні) будівлі і споруди загальною площею до 300 кв. м, споруджені з </w:t>
            </w:r>
            <w:r w:rsidR="00BA7B4E" w:rsidRPr="0099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9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серпня 1992</w:t>
            </w:r>
            <w:r w:rsidR="00BA7B4E" w:rsidRPr="0099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року</w:t>
            </w:r>
            <w:r w:rsidRPr="0099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A7B4E" w:rsidRPr="0099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9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="00BA7B4E" w:rsidRPr="0099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9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квітня 2015 року;</w:t>
            </w:r>
          </w:p>
          <w:p w:rsidR="00014092" w:rsidRPr="00993686" w:rsidRDefault="00EA1AB2" w:rsidP="00305E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будівлі </w:t>
            </w:r>
            <w:r w:rsidR="00056A8B" w:rsidRPr="0099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9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споруди сільськогосподарського призначення, що за класом наслідків (відповідальності) належать до об’єктів з незначними наслідками</w:t>
            </w:r>
            <w:r w:rsidR="00BA7B4E" w:rsidRPr="0099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(СС1), збудованих до 12 березня 2011 року</w:t>
            </w:r>
            <w:r w:rsidR="009C0EFC" w:rsidRPr="0099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C0EFC" w:rsidRPr="00993686" w:rsidRDefault="009C0EFC" w:rsidP="00305EDC">
            <w:pPr>
              <w:pStyle w:val="ab"/>
              <w:suppressAutoHyphens/>
              <w:snapToGrid w:val="0"/>
              <w:spacing w:before="0" w:beforeAutospacing="0" w:after="0" w:afterAutospacing="0"/>
              <w:jc w:val="both"/>
              <w:rPr>
                <w:rFonts w:eastAsia="Times New Roman"/>
                <w:lang w:val="uk-UA"/>
              </w:rPr>
            </w:pPr>
            <w:r w:rsidRPr="00993686">
              <w:rPr>
                <w:rFonts w:eastAsia="Times New Roman"/>
                <w:lang w:val="uk-UA"/>
              </w:rPr>
              <w:t>Технічні паспорти, складені до наб</w:t>
            </w:r>
            <w:r w:rsidR="00BA7B4E" w:rsidRPr="00993686">
              <w:rPr>
                <w:rFonts w:eastAsia="Times New Roman"/>
                <w:lang w:val="uk-UA"/>
              </w:rPr>
              <w:t>уття</w:t>
            </w:r>
            <w:r w:rsidRPr="00993686">
              <w:rPr>
                <w:rFonts w:eastAsia="Times New Roman"/>
                <w:lang w:val="uk-UA"/>
              </w:rPr>
              <w:t xml:space="preserve"> чинності Порядком, щодо індивідуальних (садибних) житлових будинків, садових, дачних будинків загальною площею до 300 квадратних метрів включно, а також господарських (присадибних) будівель і споруд загальною площею до 100 квадратних метрів включно подаються за умови проставлення в них відповідної відмітки про пров</w:t>
            </w:r>
            <w:r w:rsidR="00056A8B" w:rsidRPr="00993686">
              <w:rPr>
                <w:rFonts w:eastAsia="Times New Roman"/>
                <w:lang w:val="uk-UA"/>
              </w:rPr>
              <w:t>едення їх технічного обстеження</w:t>
            </w:r>
          </w:p>
          <w:p w:rsidR="009C0EFC" w:rsidRPr="00993686" w:rsidRDefault="009C0EFC" w:rsidP="00305EDC">
            <w:pPr>
              <w:pStyle w:val="ab"/>
              <w:suppressAutoHyphens/>
              <w:snapToGrid w:val="0"/>
              <w:spacing w:before="0" w:beforeAutospacing="0" w:after="0" w:afterAutospacing="0"/>
              <w:jc w:val="both"/>
              <w:rPr>
                <w:rFonts w:eastAsia="Times New Roman"/>
                <w:lang w:val="uk-UA"/>
              </w:rPr>
            </w:pPr>
            <w:r w:rsidRPr="00993686">
              <w:rPr>
                <w:rFonts w:eastAsia="Times New Roman"/>
                <w:lang w:val="uk-UA"/>
              </w:rPr>
              <w:t>Заяву про прийняття в експлуатацію об'єкта підписують також співвласники земельної ділянки та/або зазначеного об'єкта (у разі їх наявності).</w:t>
            </w:r>
          </w:p>
          <w:p w:rsidR="009C0EFC" w:rsidRPr="00993686" w:rsidRDefault="009C0EFC" w:rsidP="00305E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Дані, зазначені в декларації, мають узгоджуватися з документами, </w:t>
            </w:r>
            <w:r w:rsidR="00BA7B4E" w:rsidRPr="0099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що</w:t>
            </w:r>
            <w:r w:rsidR="0088487F" w:rsidRPr="0099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подаються разом з нею</w:t>
            </w:r>
          </w:p>
          <w:p w:rsidR="00305EDC" w:rsidRPr="00993686" w:rsidRDefault="00305EDC" w:rsidP="00305EDC">
            <w:pPr>
              <w:pStyle w:val="rvps2"/>
              <w:suppressAutoHyphens/>
              <w:snapToGrid w:val="0"/>
              <w:spacing w:before="0" w:beforeAutospacing="0" w:after="0" w:afterAutospacing="0"/>
              <w:jc w:val="both"/>
              <w:rPr>
                <w:lang w:val="uk-UA"/>
              </w:rPr>
            </w:pPr>
            <w:bookmarkStart w:id="2" w:name="n53"/>
            <w:bookmarkEnd w:id="2"/>
            <w:r w:rsidRPr="00993686">
              <w:rPr>
                <w:lang w:val="uk-UA"/>
              </w:rPr>
              <w:t xml:space="preserve">Замовник є відповідальним за повноту та </w:t>
            </w:r>
            <w:r w:rsidRPr="00993686">
              <w:rPr>
                <w:lang w:val="uk-UA"/>
              </w:rPr>
              <w:lastRenderedPageBreak/>
              <w:t>достовірність даних, зазначених у поданій ним декларації, відповідно до вимог чинного законодавства.</w:t>
            </w:r>
          </w:p>
          <w:p w:rsidR="00305EDC" w:rsidRPr="00993686" w:rsidRDefault="00305EDC" w:rsidP="00305EDC">
            <w:pPr>
              <w:pStyle w:val="rvps2"/>
              <w:suppressAutoHyphens/>
              <w:snapToGrid w:val="0"/>
              <w:spacing w:before="0" w:beforeAutospacing="0" w:after="0" w:afterAutospacing="0"/>
              <w:jc w:val="both"/>
              <w:rPr>
                <w:lang w:val="uk-UA"/>
              </w:rPr>
            </w:pPr>
            <w:r w:rsidRPr="00993686">
              <w:rPr>
                <w:lang w:val="uk-UA"/>
              </w:rPr>
              <w:t xml:space="preserve">До власників (користувачів) земельних ділянок, які відповідно до </w:t>
            </w:r>
            <w:hyperlink r:id="rId9" w:anchor="n712" w:tgtFrame="_blank" w:history="1">
              <w:r w:rsidRPr="00993686">
                <w:rPr>
                  <w:lang w:val="uk-UA"/>
                </w:rPr>
                <w:t>пункту 9</w:t>
              </w:r>
            </w:hyperlink>
            <w:r w:rsidRPr="00993686">
              <w:rPr>
                <w:lang w:val="uk-UA"/>
              </w:rPr>
              <w:t xml:space="preserve"> розділу V «Прикінцеві положення» Закону України «Про регулювання містобудівної діяльності» подали документи про прийняття в експлуатацію об’єктів, штрафні санкції за виконання будівельних робіт без отримання документів, що дають право на їх виконання, та за експлуатацію або використання об’єктів будівництва, не прийнятих в </w:t>
            </w:r>
            <w:r w:rsidR="00056A8B" w:rsidRPr="00993686">
              <w:rPr>
                <w:lang w:val="uk-UA"/>
              </w:rPr>
              <w:t>експлуатацію, не застосовуються</w:t>
            </w:r>
          </w:p>
        </w:tc>
      </w:tr>
    </w:tbl>
    <w:p w:rsidR="00F11978" w:rsidRPr="00993686" w:rsidRDefault="00B87801" w:rsidP="00B87801">
      <w:pPr>
        <w:spacing w:before="120" w:after="0" w:line="240" w:lineRule="auto"/>
        <w:ind w:left="-142"/>
        <w:jc w:val="both"/>
        <w:rPr>
          <w:rFonts w:ascii="Times New Roman" w:hAnsi="Times New Roman"/>
          <w:b/>
          <w:i/>
          <w:sz w:val="24"/>
          <w:szCs w:val="24"/>
        </w:rPr>
      </w:pPr>
      <w:r w:rsidRPr="00993686">
        <w:rPr>
          <w:rFonts w:ascii="Times New Roman" w:hAnsi="Times New Roman"/>
          <w:b/>
          <w:i/>
          <w:sz w:val="24"/>
          <w:szCs w:val="24"/>
        </w:rPr>
        <w:lastRenderedPageBreak/>
        <w:t xml:space="preserve">* </w:t>
      </w:r>
      <w:r w:rsidRPr="00993686">
        <w:rPr>
          <w:rFonts w:ascii="Times New Roman" w:hAnsi="Times New Roman"/>
          <w:sz w:val="24"/>
          <w:szCs w:val="24"/>
        </w:rPr>
        <w:t>Копія технічного паспорт</w:t>
      </w:r>
      <w:r w:rsidR="0088487F" w:rsidRPr="00993686">
        <w:rPr>
          <w:rFonts w:ascii="Times New Roman" w:hAnsi="Times New Roman"/>
          <w:sz w:val="24"/>
          <w:szCs w:val="24"/>
        </w:rPr>
        <w:t>а</w:t>
      </w:r>
      <w:r w:rsidRPr="00993686">
        <w:rPr>
          <w:rFonts w:ascii="Times New Roman" w:hAnsi="Times New Roman"/>
          <w:sz w:val="24"/>
          <w:szCs w:val="24"/>
        </w:rPr>
        <w:t xml:space="preserve"> засвідчується суб’єктом господарювання відповідно до Інструкції про порядок проведення технічної інвентаризації об'єктів нерухомого майна</w:t>
      </w:r>
      <w:r w:rsidR="0088487F" w:rsidRPr="00993686">
        <w:rPr>
          <w:rFonts w:ascii="Times New Roman" w:hAnsi="Times New Roman"/>
          <w:sz w:val="24"/>
          <w:szCs w:val="24"/>
        </w:rPr>
        <w:t>,</w:t>
      </w:r>
      <w:r w:rsidRPr="00993686">
        <w:rPr>
          <w:rFonts w:ascii="Times New Roman" w:hAnsi="Times New Roman"/>
          <w:sz w:val="24"/>
          <w:szCs w:val="24"/>
        </w:rPr>
        <w:t xml:space="preserve"> затвердженої </w:t>
      </w:r>
      <w:r w:rsidR="0088487F" w:rsidRPr="00993686">
        <w:rPr>
          <w:rFonts w:ascii="Times New Roman" w:hAnsi="Times New Roman"/>
          <w:sz w:val="24"/>
          <w:szCs w:val="24"/>
        </w:rPr>
        <w:t>Н</w:t>
      </w:r>
      <w:r w:rsidRPr="00993686">
        <w:rPr>
          <w:rFonts w:ascii="Times New Roman" w:hAnsi="Times New Roman"/>
          <w:sz w:val="24"/>
          <w:szCs w:val="24"/>
        </w:rPr>
        <w:t xml:space="preserve">аказом </w:t>
      </w:r>
      <w:r w:rsidR="0088487F" w:rsidRPr="00993686">
        <w:rPr>
          <w:rFonts w:ascii="Times New Roman" w:hAnsi="Times New Roman"/>
          <w:sz w:val="24"/>
          <w:szCs w:val="24"/>
        </w:rPr>
        <w:t>Державного комітету будівництва, архітектури та житлової політики</w:t>
      </w:r>
      <w:r w:rsidRPr="00993686">
        <w:rPr>
          <w:rFonts w:ascii="Times New Roman" w:hAnsi="Times New Roman"/>
          <w:sz w:val="24"/>
          <w:szCs w:val="24"/>
        </w:rPr>
        <w:t xml:space="preserve"> України від 24</w:t>
      </w:r>
      <w:r w:rsidR="0088487F" w:rsidRPr="00993686">
        <w:rPr>
          <w:rFonts w:ascii="Times New Roman" w:hAnsi="Times New Roman"/>
          <w:sz w:val="24"/>
          <w:szCs w:val="24"/>
        </w:rPr>
        <w:t xml:space="preserve"> травня </w:t>
      </w:r>
      <w:r w:rsidRPr="00993686">
        <w:rPr>
          <w:rFonts w:ascii="Times New Roman" w:hAnsi="Times New Roman"/>
          <w:sz w:val="24"/>
          <w:szCs w:val="24"/>
        </w:rPr>
        <w:t>2001</w:t>
      </w:r>
      <w:r w:rsidR="0088487F" w:rsidRPr="00993686">
        <w:rPr>
          <w:rFonts w:ascii="Times New Roman" w:hAnsi="Times New Roman"/>
          <w:sz w:val="24"/>
          <w:szCs w:val="24"/>
        </w:rPr>
        <w:t xml:space="preserve"> року</w:t>
      </w:r>
      <w:r w:rsidRPr="00993686">
        <w:rPr>
          <w:rFonts w:ascii="Times New Roman" w:hAnsi="Times New Roman"/>
          <w:sz w:val="24"/>
          <w:szCs w:val="24"/>
        </w:rPr>
        <w:t xml:space="preserve"> №127.</w:t>
      </w:r>
    </w:p>
    <w:p w:rsidR="00B87801" w:rsidRPr="00993686" w:rsidRDefault="00B87801" w:rsidP="00DF5700">
      <w:pPr>
        <w:spacing w:after="0"/>
        <w:ind w:left="-142"/>
        <w:rPr>
          <w:rFonts w:ascii="Times New Roman" w:hAnsi="Times New Roman"/>
          <w:b/>
          <w:i/>
          <w:sz w:val="24"/>
          <w:szCs w:val="24"/>
        </w:rPr>
      </w:pPr>
    </w:p>
    <w:p w:rsidR="0085655D" w:rsidRPr="00993686" w:rsidRDefault="0085655D" w:rsidP="00AE756D">
      <w:pPr>
        <w:ind w:left="-142"/>
        <w:rPr>
          <w:rFonts w:ascii="Times New Roman" w:hAnsi="Times New Roman"/>
          <w:b/>
          <w:i/>
          <w:sz w:val="24"/>
          <w:szCs w:val="24"/>
        </w:rPr>
      </w:pPr>
    </w:p>
    <w:p w:rsidR="0032604A" w:rsidRPr="00993686" w:rsidRDefault="0032604A" w:rsidP="00AE756D">
      <w:pPr>
        <w:ind w:left="-142"/>
        <w:rPr>
          <w:rFonts w:ascii="Times New Roman" w:hAnsi="Times New Roman"/>
          <w:b/>
          <w:i/>
          <w:sz w:val="24"/>
          <w:szCs w:val="24"/>
        </w:rPr>
      </w:pPr>
    </w:p>
    <w:p w:rsidR="009C53F9" w:rsidRPr="00993686" w:rsidRDefault="009C53F9" w:rsidP="00AE756D">
      <w:pPr>
        <w:ind w:left="-142"/>
        <w:rPr>
          <w:rFonts w:ascii="Times New Roman" w:hAnsi="Times New Roman"/>
          <w:b/>
          <w:i/>
          <w:sz w:val="24"/>
          <w:szCs w:val="24"/>
        </w:rPr>
      </w:pPr>
    </w:p>
    <w:p w:rsidR="009C53F9" w:rsidRPr="00993686" w:rsidRDefault="009C53F9" w:rsidP="00AE756D">
      <w:pPr>
        <w:ind w:left="-142"/>
        <w:rPr>
          <w:rFonts w:ascii="Times New Roman" w:hAnsi="Times New Roman"/>
          <w:b/>
          <w:i/>
          <w:sz w:val="24"/>
          <w:szCs w:val="24"/>
        </w:rPr>
      </w:pPr>
    </w:p>
    <w:p w:rsidR="009C53F9" w:rsidRPr="00993686" w:rsidRDefault="009C53F9" w:rsidP="00AE756D">
      <w:pPr>
        <w:ind w:left="-142"/>
        <w:rPr>
          <w:rFonts w:ascii="Times New Roman" w:hAnsi="Times New Roman"/>
          <w:b/>
          <w:i/>
          <w:sz w:val="24"/>
          <w:szCs w:val="24"/>
        </w:rPr>
      </w:pPr>
    </w:p>
    <w:p w:rsidR="009C53F9" w:rsidRPr="00993686" w:rsidRDefault="009C53F9" w:rsidP="00AE756D">
      <w:pPr>
        <w:ind w:left="-142"/>
        <w:rPr>
          <w:rFonts w:ascii="Times New Roman" w:hAnsi="Times New Roman"/>
          <w:b/>
          <w:i/>
          <w:sz w:val="24"/>
          <w:szCs w:val="24"/>
        </w:rPr>
      </w:pPr>
    </w:p>
    <w:p w:rsidR="009C53F9" w:rsidRPr="00993686" w:rsidRDefault="009C53F9" w:rsidP="00AE756D">
      <w:pPr>
        <w:ind w:left="-142"/>
        <w:rPr>
          <w:rFonts w:ascii="Times New Roman" w:hAnsi="Times New Roman"/>
          <w:b/>
          <w:i/>
          <w:sz w:val="24"/>
          <w:szCs w:val="24"/>
        </w:rPr>
      </w:pPr>
    </w:p>
    <w:p w:rsidR="009C53F9" w:rsidRPr="00993686" w:rsidRDefault="009C53F9" w:rsidP="00AE756D">
      <w:pPr>
        <w:ind w:left="-142"/>
        <w:rPr>
          <w:rFonts w:ascii="Times New Roman" w:hAnsi="Times New Roman"/>
          <w:b/>
          <w:i/>
          <w:sz w:val="24"/>
          <w:szCs w:val="24"/>
        </w:rPr>
      </w:pPr>
    </w:p>
    <w:p w:rsidR="009C53F9" w:rsidRPr="00993686" w:rsidRDefault="009C53F9" w:rsidP="00AE756D">
      <w:pPr>
        <w:ind w:left="-142"/>
        <w:rPr>
          <w:rFonts w:ascii="Times New Roman" w:hAnsi="Times New Roman"/>
          <w:b/>
          <w:i/>
          <w:sz w:val="24"/>
          <w:szCs w:val="24"/>
        </w:rPr>
      </w:pPr>
    </w:p>
    <w:p w:rsidR="009C53F9" w:rsidRPr="00993686" w:rsidRDefault="009C53F9" w:rsidP="00AE756D">
      <w:pPr>
        <w:ind w:left="-142"/>
        <w:rPr>
          <w:rFonts w:ascii="Times New Roman" w:hAnsi="Times New Roman"/>
          <w:b/>
          <w:i/>
          <w:sz w:val="24"/>
          <w:szCs w:val="24"/>
        </w:rPr>
      </w:pPr>
    </w:p>
    <w:p w:rsidR="009C53F9" w:rsidRPr="00993686" w:rsidRDefault="009C53F9" w:rsidP="00AE756D">
      <w:pPr>
        <w:ind w:left="-142"/>
        <w:rPr>
          <w:rFonts w:ascii="Times New Roman" w:hAnsi="Times New Roman"/>
          <w:b/>
          <w:i/>
          <w:sz w:val="24"/>
          <w:szCs w:val="24"/>
        </w:rPr>
      </w:pPr>
    </w:p>
    <w:p w:rsidR="009C53F9" w:rsidRPr="00993686" w:rsidRDefault="009C53F9" w:rsidP="00AE756D">
      <w:pPr>
        <w:ind w:left="-142"/>
        <w:rPr>
          <w:rFonts w:ascii="Times New Roman" w:hAnsi="Times New Roman"/>
          <w:b/>
          <w:i/>
          <w:sz w:val="24"/>
          <w:szCs w:val="24"/>
        </w:rPr>
      </w:pPr>
    </w:p>
    <w:p w:rsidR="009C53F9" w:rsidRPr="00993686" w:rsidRDefault="009C53F9" w:rsidP="00AE756D">
      <w:pPr>
        <w:ind w:left="-142"/>
        <w:rPr>
          <w:rFonts w:ascii="Times New Roman" w:hAnsi="Times New Roman"/>
          <w:b/>
          <w:i/>
          <w:sz w:val="24"/>
          <w:szCs w:val="24"/>
        </w:rPr>
      </w:pPr>
    </w:p>
    <w:p w:rsidR="009C53F9" w:rsidRPr="00993686" w:rsidRDefault="009C53F9" w:rsidP="00AE756D">
      <w:pPr>
        <w:ind w:left="-142"/>
        <w:rPr>
          <w:rFonts w:ascii="Times New Roman" w:hAnsi="Times New Roman"/>
          <w:b/>
          <w:i/>
          <w:sz w:val="24"/>
          <w:szCs w:val="24"/>
        </w:rPr>
      </w:pPr>
    </w:p>
    <w:p w:rsidR="009C53F9" w:rsidRPr="00993686" w:rsidRDefault="009C53F9" w:rsidP="00AE756D">
      <w:pPr>
        <w:ind w:left="-142"/>
        <w:rPr>
          <w:rFonts w:ascii="Times New Roman" w:hAnsi="Times New Roman"/>
          <w:b/>
          <w:i/>
          <w:sz w:val="24"/>
          <w:szCs w:val="24"/>
        </w:rPr>
      </w:pPr>
    </w:p>
    <w:p w:rsidR="009C53F9" w:rsidRPr="00993686" w:rsidRDefault="009C53F9" w:rsidP="00AE756D">
      <w:pPr>
        <w:ind w:left="-142"/>
        <w:rPr>
          <w:rFonts w:ascii="Times New Roman" w:hAnsi="Times New Roman"/>
          <w:b/>
          <w:i/>
          <w:sz w:val="24"/>
          <w:szCs w:val="24"/>
        </w:rPr>
      </w:pPr>
    </w:p>
    <w:p w:rsidR="009C53F9" w:rsidRPr="00993686" w:rsidRDefault="009C53F9" w:rsidP="00AE756D">
      <w:pPr>
        <w:ind w:left="-142"/>
        <w:rPr>
          <w:rFonts w:ascii="Times New Roman" w:hAnsi="Times New Roman"/>
          <w:b/>
          <w:i/>
          <w:sz w:val="24"/>
          <w:szCs w:val="24"/>
        </w:rPr>
      </w:pPr>
    </w:p>
    <w:p w:rsidR="009C53F9" w:rsidRPr="00993686" w:rsidRDefault="009C53F9" w:rsidP="00AE756D">
      <w:pPr>
        <w:ind w:left="-142"/>
        <w:rPr>
          <w:rFonts w:ascii="Times New Roman" w:hAnsi="Times New Roman"/>
          <w:b/>
          <w:i/>
          <w:sz w:val="24"/>
          <w:szCs w:val="24"/>
        </w:rPr>
      </w:pPr>
    </w:p>
    <w:p w:rsidR="009C53F9" w:rsidRPr="00993686" w:rsidRDefault="009C53F9" w:rsidP="009C53F9">
      <w:pPr>
        <w:suppressAutoHyphens/>
        <w:spacing w:after="0" w:line="240" w:lineRule="auto"/>
        <w:ind w:left="4956"/>
        <w:rPr>
          <w:rFonts w:ascii="Times New Roman" w:hAnsi="Times New Roman" w:cs="Calibri"/>
          <w:i/>
          <w:sz w:val="24"/>
          <w:szCs w:val="24"/>
          <w:lang w:eastAsia="ar-SA"/>
        </w:rPr>
      </w:pPr>
      <w:r w:rsidRPr="00993686">
        <w:rPr>
          <w:rFonts w:ascii="Times New Roman" w:hAnsi="Times New Roman" w:cs="Calibri"/>
          <w:b/>
          <w:i/>
          <w:sz w:val="28"/>
          <w:szCs w:val="28"/>
          <w:lang w:eastAsia="ar-SA"/>
        </w:rPr>
        <w:lastRenderedPageBreak/>
        <w:t xml:space="preserve">                         </w:t>
      </w:r>
    </w:p>
    <w:p w:rsidR="009C53F9" w:rsidRPr="00993686" w:rsidRDefault="009C53F9" w:rsidP="009C53F9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9C53F9" w:rsidRPr="00993686" w:rsidRDefault="009C53F9" w:rsidP="009C53F9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9C53F9" w:rsidRPr="00993686" w:rsidRDefault="009C53F9" w:rsidP="009C53F9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993686">
        <w:rPr>
          <w:rFonts w:ascii="Times New Roman" w:hAnsi="Times New Roman" w:cs="Calibri"/>
          <w:b/>
          <w:i/>
          <w:sz w:val="24"/>
          <w:szCs w:val="24"/>
          <w:lang w:eastAsia="ar-SA"/>
        </w:rPr>
        <w:t>ТЕХНОЛОГІЧНІ КАРТКИ</w:t>
      </w:r>
    </w:p>
    <w:p w:rsidR="009C53F9" w:rsidRPr="00993686" w:rsidRDefault="009C53F9" w:rsidP="009C53F9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993686">
        <w:rPr>
          <w:rFonts w:ascii="Times New Roman" w:hAnsi="Times New Roman" w:cs="Calibri"/>
          <w:b/>
          <w:i/>
          <w:sz w:val="24"/>
          <w:szCs w:val="24"/>
          <w:lang w:eastAsia="ar-SA"/>
        </w:rPr>
        <w:t>адміністративних послуг, що надаються відділом з питань державного архітектурно-будівельного контролю виконкому Криворізької міської ради в Центрі адміністративних послуг «Віза» та його територіальних підрозділах</w:t>
      </w:r>
    </w:p>
    <w:p w:rsidR="009C53F9" w:rsidRPr="00993686" w:rsidRDefault="009C53F9" w:rsidP="009C53F9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9C53F9" w:rsidRPr="00993686" w:rsidRDefault="009C53F9" w:rsidP="009C53F9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9C53F9" w:rsidRPr="00993686" w:rsidRDefault="009C53F9" w:rsidP="009C53F9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993686">
        <w:rPr>
          <w:rFonts w:ascii="Times New Roman" w:hAnsi="Times New Roman" w:cs="Calibri"/>
          <w:b/>
          <w:i/>
          <w:sz w:val="24"/>
          <w:szCs w:val="24"/>
          <w:lang w:eastAsia="ar-SA"/>
        </w:rPr>
        <w:t>ТЕХНОЛОГІЧНА КАРТКА №10</w:t>
      </w:r>
    </w:p>
    <w:p w:rsidR="009C53F9" w:rsidRPr="00993686" w:rsidRDefault="009C53F9" w:rsidP="009C53F9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993686">
        <w:rPr>
          <w:rFonts w:ascii="Times New Roman" w:hAnsi="Times New Roman" w:cs="Calibri"/>
          <w:i/>
          <w:sz w:val="24"/>
          <w:szCs w:val="24"/>
          <w:lang w:eastAsia="ar-SA"/>
        </w:rPr>
        <w:t>Назва послуги:</w:t>
      </w:r>
      <w:r w:rsidRPr="00993686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Реєстрація декларації про готовність об’єкта до експлуатації індивідуальних (садибних) житлових будинків, садових, дачних будинків, господарських (присадибних) будівель і споруд, будівель і споруд сільськогосподарського призначення щодо об’єктів, що за класом наслідків (відповідальності) належать до об’єктів з незначними наслідками (СС1), розташованих на території м. Кривого Рогу, які збудовані на земельній ділянці відповідного цільового призначення без дозвільного документа на виконання будівельних робіт</w:t>
      </w:r>
    </w:p>
    <w:p w:rsidR="009C53F9" w:rsidRPr="00993686" w:rsidRDefault="009C53F9" w:rsidP="009C53F9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uk-UA"/>
        </w:rPr>
      </w:pPr>
      <w:r w:rsidRPr="00993686">
        <w:rPr>
          <w:rFonts w:ascii="Times New Roman" w:hAnsi="Times New Roman" w:cs="Calibri"/>
          <w:i/>
          <w:sz w:val="24"/>
          <w:szCs w:val="24"/>
          <w:lang w:eastAsia="ar-SA"/>
        </w:rPr>
        <w:t xml:space="preserve"> </w:t>
      </w:r>
    </w:p>
    <w:p w:rsidR="009C53F9" w:rsidRPr="00993686" w:rsidRDefault="009C53F9" w:rsidP="009C53F9">
      <w:pPr>
        <w:spacing w:after="0" w:line="240" w:lineRule="auto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 w:rsidRPr="00993686">
        <w:rPr>
          <w:rFonts w:ascii="Times New Roman" w:eastAsia="Times New Roman" w:hAnsi="Times New Roman"/>
          <w:i/>
          <w:sz w:val="24"/>
          <w:szCs w:val="24"/>
          <w:lang w:eastAsia="uk-UA"/>
        </w:rPr>
        <w:t>Загальна кількість днів надання послуги:                                                      до 10 робочих</w:t>
      </w:r>
      <w:r w:rsidRPr="009936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9C53F9" w:rsidRPr="00993686" w:rsidTr="00C1110E">
        <w:tc>
          <w:tcPr>
            <w:tcW w:w="568" w:type="dxa"/>
            <w:shd w:val="clear" w:color="auto" w:fill="auto"/>
          </w:tcPr>
          <w:p w:rsidR="009C53F9" w:rsidRPr="00993686" w:rsidRDefault="009C53F9" w:rsidP="00C11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99368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9C53F9" w:rsidRPr="00993686" w:rsidRDefault="009C53F9" w:rsidP="00C11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99368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375" w:type="dxa"/>
            <w:shd w:val="clear" w:color="auto" w:fill="auto"/>
          </w:tcPr>
          <w:p w:rsidR="009C53F9" w:rsidRPr="00993686" w:rsidRDefault="009C53F9" w:rsidP="00C11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99368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3574" w:type="dxa"/>
            <w:shd w:val="clear" w:color="auto" w:fill="auto"/>
          </w:tcPr>
          <w:p w:rsidR="009C53F9" w:rsidRPr="00993686" w:rsidRDefault="009C53F9" w:rsidP="00C11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99368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9C53F9" w:rsidRPr="00993686" w:rsidRDefault="009C53F9" w:rsidP="00C11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99368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1847" w:type="dxa"/>
            <w:shd w:val="clear" w:color="auto" w:fill="auto"/>
          </w:tcPr>
          <w:p w:rsidR="009C53F9" w:rsidRPr="00993686" w:rsidRDefault="009C53F9" w:rsidP="00C1110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99368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органи міської ради, відповідальні  за етапи (дію, рішення)</w:t>
            </w:r>
          </w:p>
        </w:tc>
        <w:tc>
          <w:tcPr>
            <w:tcW w:w="1559" w:type="dxa"/>
            <w:shd w:val="clear" w:color="auto" w:fill="auto"/>
          </w:tcPr>
          <w:p w:rsidR="009C53F9" w:rsidRPr="00993686" w:rsidRDefault="009C53F9" w:rsidP="00C11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99368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9C53F9" w:rsidRPr="00993686" w:rsidRDefault="009C53F9" w:rsidP="00C11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99368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9C53F9" w:rsidRPr="00993686" w:rsidRDefault="009C53F9" w:rsidP="009C53F9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9C53F9" w:rsidRPr="00993686" w:rsidTr="00C1110E">
        <w:trPr>
          <w:tblHeader/>
        </w:trPr>
        <w:tc>
          <w:tcPr>
            <w:tcW w:w="568" w:type="dxa"/>
            <w:shd w:val="clear" w:color="auto" w:fill="auto"/>
          </w:tcPr>
          <w:p w:rsidR="009C53F9" w:rsidRPr="00993686" w:rsidRDefault="009C53F9" w:rsidP="00C11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99368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9C53F9" w:rsidRPr="00993686" w:rsidRDefault="009C53F9" w:rsidP="00C11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99368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574" w:type="dxa"/>
            <w:shd w:val="clear" w:color="auto" w:fill="auto"/>
          </w:tcPr>
          <w:p w:rsidR="009C53F9" w:rsidRPr="00993686" w:rsidRDefault="009C53F9" w:rsidP="00C11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99368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847" w:type="dxa"/>
            <w:shd w:val="clear" w:color="auto" w:fill="auto"/>
          </w:tcPr>
          <w:p w:rsidR="009C53F9" w:rsidRPr="00993686" w:rsidRDefault="009C53F9" w:rsidP="00C1110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99368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C53F9" w:rsidRPr="00993686" w:rsidRDefault="009C53F9" w:rsidP="00C11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99368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5</w:t>
            </w:r>
          </w:p>
        </w:tc>
      </w:tr>
      <w:tr w:rsidR="009C53F9" w:rsidRPr="00993686" w:rsidTr="00C1110E">
        <w:tc>
          <w:tcPr>
            <w:tcW w:w="568" w:type="dxa"/>
            <w:shd w:val="clear" w:color="auto" w:fill="auto"/>
          </w:tcPr>
          <w:p w:rsidR="009C53F9" w:rsidRPr="00993686" w:rsidRDefault="009C53F9" w:rsidP="00C111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993686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9C53F9" w:rsidRPr="00993686" w:rsidRDefault="009C53F9" w:rsidP="00C1110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936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3574" w:type="dxa"/>
            <w:shd w:val="clear" w:color="auto" w:fill="auto"/>
          </w:tcPr>
          <w:p w:rsidR="009C53F9" w:rsidRPr="00993686" w:rsidRDefault="009C53F9" w:rsidP="00C111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936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 Центру  адміністративних  послуг «Віза» (надалі – Адміністратор)</w:t>
            </w:r>
          </w:p>
        </w:tc>
        <w:tc>
          <w:tcPr>
            <w:tcW w:w="1847" w:type="dxa"/>
            <w:shd w:val="clear" w:color="auto" w:fill="auto"/>
          </w:tcPr>
          <w:p w:rsidR="009C53F9" w:rsidRPr="00993686" w:rsidRDefault="009C53F9" w:rsidP="00C1110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936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 адміністративних послуг виконкому Криворізької міської ради (надалі - Департамент)</w:t>
            </w:r>
          </w:p>
        </w:tc>
        <w:tc>
          <w:tcPr>
            <w:tcW w:w="1559" w:type="dxa"/>
            <w:shd w:val="clear" w:color="auto" w:fill="auto"/>
          </w:tcPr>
          <w:p w:rsidR="009C53F9" w:rsidRPr="00993686" w:rsidRDefault="009C53F9" w:rsidP="00C111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936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9C53F9" w:rsidRPr="00993686" w:rsidTr="00C1110E">
        <w:tc>
          <w:tcPr>
            <w:tcW w:w="568" w:type="dxa"/>
            <w:shd w:val="clear" w:color="auto" w:fill="auto"/>
          </w:tcPr>
          <w:p w:rsidR="009C53F9" w:rsidRPr="00993686" w:rsidRDefault="009C53F9" w:rsidP="00C111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993686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5" w:type="dxa"/>
            <w:shd w:val="clear" w:color="auto" w:fill="auto"/>
          </w:tcPr>
          <w:p w:rsidR="009C53F9" w:rsidRPr="00993686" w:rsidRDefault="009C53F9" w:rsidP="00C1110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936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вхідного пакету документів про надання адміністративної послуги; перевірка комплектності; реєстрація в Центрі адміністративних послуг «Віза» (надалі – Центр)</w:t>
            </w:r>
          </w:p>
        </w:tc>
        <w:tc>
          <w:tcPr>
            <w:tcW w:w="3574" w:type="dxa"/>
            <w:shd w:val="clear" w:color="auto" w:fill="auto"/>
          </w:tcPr>
          <w:p w:rsidR="009C53F9" w:rsidRPr="00993686" w:rsidRDefault="009C53F9" w:rsidP="00C111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936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9C53F9" w:rsidRPr="00993686" w:rsidRDefault="009C53F9" w:rsidP="00C111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936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9C53F9" w:rsidRPr="00993686" w:rsidRDefault="009C53F9" w:rsidP="00C111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936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9C53F9" w:rsidRPr="00993686" w:rsidRDefault="009C53F9" w:rsidP="00C1110E">
            <w:pPr>
              <w:spacing w:after="0" w:line="240" w:lineRule="auto"/>
              <w:ind w:right="-74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9936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надходження документів</w:t>
            </w:r>
          </w:p>
        </w:tc>
      </w:tr>
      <w:tr w:rsidR="009C53F9" w:rsidRPr="00993686" w:rsidTr="00C1110E">
        <w:tc>
          <w:tcPr>
            <w:tcW w:w="568" w:type="dxa"/>
            <w:shd w:val="clear" w:color="auto" w:fill="auto"/>
          </w:tcPr>
          <w:p w:rsidR="009C53F9" w:rsidRPr="00993686" w:rsidRDefault="009C53F9" w:rsidP="00C111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993686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:rsidR="009C53F9" w:rsidRPr="00993686" w:rsidRDefault="009C53F9" w:rsidP="00C1110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936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 вхідного </w:t>
            </w:r>
          </w:p>
          <w:p w:rsidR="009C53F9" w:rsidRPr="00993686" w:rsidRDefault="009C53F9" w:rsidP="00C1110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936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пакету документів відповідальній особі відділу з питань державного архітектурно-будівельного контролю виконкому </w:t>
            </w:r>
            <w:r w:rsidRPr="009936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Криворізької міської ради (надалі - відділ)</w:t>
            </w:r>
          </w:p>
        </w:tc>
        <w:tc>
          <w:tcPr>
            <w:tcW w:w="3574" w:type="dxa"/>
            <w:shd w:val="clear" w:color="auto" w:fill="auto"/>
          </w:tcPr>
          <w:p w:rsidR="009C53F9" w:rsidRPr="00993686" w:rsidRDefault="009C53F9" w:rsidP="00C111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936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9C53F9" w:rsidRPr="00993686" w:rsidRDefault="009C53F9" w:rsidP="00C1110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936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9C53F9" w:rsidRPr="00993686" w:rsidRDefault="009C53F9" w:rsidP="00C1110E">
            <w:pPr>
              <w:spacing w:after="0" w:line="240" w:lineRule="auto"/>
              <w:ind w:right="-7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пізніше наступного робочого дня</w:t>
            </w:r>
          </w:p>
        </w:tc>
      </w:tr>
      <w:tr w:rsidR="009C53F9" w:rsidRPr="00993686" w:rsidTr="00C1110E">
        <w:tc>
          <w:tcPr>
            <w:tcW w:w="568" w:type="dxa"/>
            <w:shd w:val="clear" w:color="auto" w:fill="auto"/>
          </w:tcPr>
          <w:p w:rsidR="009C53F9" w:rsidRPr="00993686" w:rsidRDefault="009C53F9" w:rsidP="00C111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993686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2375" w:type="dxa"/>
            <w:shd w:val="clear" w:color="auto" w:fill="auto"/>
          </w:tcPr>
          <w:p w:rsidR="009C53F9" w:rsidRPr="00993686" w:rsidRDefault="009C53F9" w:rsidP="00C1110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936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Реєстрація вхідного пакету документів про надання адміністративної послуги у відділі </w:t>
            </w:r>
          </w:p>
        </w:tc>
        <w:tc>
          <w:tcPr>
            <w:tcW w:w="3574" w:type="dxa"/>
            <w:shd w:val="clear" w:color="auto" w:fill="auto"/>
          </w:tcPr>
          <w:p w:rsidR="009C53F9" w:rsidRPr="00993686" w:rsidRDefault="009C53F9" w:rsidP="00C1110E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936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9C53F9" w:rsidRPr="00993686" w:rsidRDefault="009C53F9" w:rsidP="00C1110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936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  <w:p w:rsidR="009C53F9" w:rsidRPr="00993686" w:rsidRDefault="009C53F9" w:rsidP="00C1110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shd w:val="clear" w:color="auto" w:fill="auto"/>
          </w:tcPr>
          <w:p w:rsidR="009C53F9" w:rsidRPr="00993686" w:rsidRDefault="009C53F9" w:rsidP="00C111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936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9C53F9" w:rsidRPr="00993686" w:rsidRDefault="009C53F9" w:rsidP="00C1110E">
            <w:pPr>
              <w:spacing w:after="0" w:line="240" w:lineRule="auto"/>
              <w:ind w:right="-7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936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надходження документів</w:t>
            </w:r>
          </w:p>
        </w:tc>
      </w:tr>
      <w:tr w:rsidR="009C53F9" w:rsidRPr="00993686" w:rsidTr="00C1110E">
        <w:tc>
          <w:tcPr>
            <w:tcW w:w="568" w:type="dxa"/>
            <w:shd w:val="clear" w:color="auto" w:fill="auto"/>
          </w:tcPr>
          <w:p w:rsidR="009C53F9" w:rsidRPr="00993686" w:rsidRDefault="009C53F9" w:rsidP="00C111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993686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375" w:type="dxa"/>
            <w:shd w:val="clear" w:color="auto" w:fill="auto"/>
          </w:tcPr>
          <w:p w:rsidR="009C53F9" w:rsidRPr="00993686" w:rsidRDefault="009C53F9" w:rsidP="00C1110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936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Розгляд  пакету </w:t>
            </w:r>
            <w:proofErr w:type="spellStart"/>
            <w:r w:rsidRPr="009936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доку-</w:t>
            </w:r>
            <w:proofErr w:type="spellEnd"/>
            <w:r w:rsidRPr="009936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936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ментів</w:t>
            </w:r>
            <w:proofErr w:type="spellEnd"/>
            <w:r w:rsidRPr="009936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накладення резолюції та визначення відповідальної особи відділу</w:t>
            </w:r>
          </w:p>
        </w:tc>
        <w:tc>
          <w:tcPr>
            <w:tcW w:w="3574" w:type="dxa"/>
            <w:shd w:val="clear" w:color="auto" w:fill="auto"/>
          </w:tcPr>
          <w:p w:rsidR="009C53F9" w:rsidRPr="00993686" w:rsidRDefault="009C53F9" w:rsidP="00C111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936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Начальник відділу </w:t>
            </w:r>
          </w:p>
        </w:tc>
        <w:tc>
          <w:tcPr>
            <w:tcW w:w="1847" w:type="dxa"/>
            <w:shd w:val="clear" w:color="auto" w:fill="auto"/>
          </w:tcPr>
          <w:p w:rsidR="009C53F9" w:rsidRPr="00993686" w:rsidRDefault="009C53F9" w:rsidP="00C1110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936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C53F9" w:rsidRPr="00993686" w:rsidRDefault="009C53F9" w:rsidP="00C111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936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9C53F9" w:rsidRPr="00993686" w:rsidRDefault="009C53F9" w:rsidP="00C1110E">
            <w:pPr>
              <w:spacing w:after="0" w:line="240" w:lineRule="auto"/>
              <w:ind w:right="-7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936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надходження документів</w:t>
            </w:r>
          </w:p>
        </w:tc>
      </w:tr>
      <w:tr w:rsidR="009C53F9" w:rsidRPr="00993686" w:rsidTr="00C1110E">
        <w:tc>
          <w:tcPr>
            <w:tcW w:w="568" w:type="dxa"/>
            <w:shd w:val="clear" w:color="auto" w:fill="auto"/>
          </w:tcPr>
          <w:p w:rsidR="009C53F9" w:rsidRPr="00993686" w:rsidRDefault="009C53F9" w:rsidP="00C111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993686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375" w:type="dxa"/>
            <w:shd w:val="clear" w:color="auto" w:fill="auto"/>
          </w:tcPr>
          <w:p w:rsidR="009C53F9" w:rsidRPr="00993686" w:rsidRDefault="009C53F9" w:rsidP="00C1110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936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Вивчення документів, з’ясування питання повноти даних, що містяться в них</w:t>
            </w:r>
          </w:p>
        </w:tc>
        <w:tc>
          <w:tcPr>
            <w:tcW w:w="3574" w:type="dxa"/>
            <w:shd w:val="clear" w:color="auto" w:fill="auto"/>
          </w:tcPr>
          <w:p w:rsidR="009C53F9" w:rsidRPr="00993686" w:rsidRDefault="009C53F9" w:rsidP="00C1110E">
            <w:pPr>
              <w:spacing w:after="0" w:line="240" w:lineRule="auto"/>
              <w:ind w:right="-7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936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визначена керівництвом відділу</w:t>
            </w:r>
          </w:p>
        </w:tc>
        <w:tc>
          <w:tcPr>
            <w:tcW w:w="1847" w:type="dxa"/>
            <w:shd w:val="clear" w:color="auto" w:fill="auto"/>
          </w:tcPr>
          <w:p w:rsidR="009C53F9" w:rsidRPr="00993686" w:rsidRDefault="009C53F9" w:rsidP="00C1110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936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C53F9" w:rsidRPr="00993686" w:rsidRDefault="009C53F9" w:rsidP="00C1110E">
            <w:pPr>
              <w:spacing w:after="0" w:line="240" w:lineRule="auto"/>
              <w:ind w:right="-7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936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шести робочих днів</w:t>
            </w:r>
          </w:p>
        </w:tc>
      </w:tr>
      <w:tr w:rsidR="009C53F9" w:rsidRPr="00993686" w:rsidTr="00C1110E">
        <w:tc>
          <w:tcPr>
            <w:tcW w:w="568" w:type="dxa"/>
            <w:shd w:val="clear" w:color="auto" w:fill="auto"/>
          </w:tcPr>
          <w:p w:rsidR="009C53F9" w:rsidRPr="00993686" w:rsidRDefault="009C53F9" w:rsidP="00C111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993686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375" w:type="dxa"/>
            <w:shd w:val="clear" w:color="auto" w:fill="auto"/>
          </w:tcPr>
          <w:p w:rsidR="009C53F9" w:rsidRPr="00993686" w:rsidRDefault="009C53F9" w:rsidP="00C1110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936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Унесення даних до єдиного реєстру </w:t>
            </w:r>
            <w:r w:rsidRPr="0099368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документів, що дають право на виконання підготовчих та будівельних робіт і засвідчують прийняття в експлуатацію закінчених будівництвом об’єктів, відомостей про повернення на доопрацювання, відмову у видачі, скасування та анулювання зазначених документів </w:t>
            </w:r>
            <w:r w:rsidRPr="009936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(надалі </w:t>
            </w:r>
            <w:proofErr w:type="spellStart"/>
            <w:r w:rsidRPr="009936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–реєстр</w:t>
            </w:r>
            <w:proofErr w:type="spellEnd"/>
            <w:r w:rsidRPr="009936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574" w:type="dxa"/>
            <w:shd w:val="clear" w:color="auto" w:fill="auto"/>
          </w:tcPr>
          <w:p w:rsidR="009C53F9" w:rsidRPr="00993686" w:rsidRDefault="009C53F9" w:rsidP="00C1110E">
            <w:pPr>
              <w:spacing w:after="0" w:line="240" w:lineRule="auto"/>
              <w:ind w:right="-7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936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відділу, яка пройшла підготовку до роботи з реєстром</w:t>
            </w:r>
          </w:p>
        </w:tc>
        <w:tc>
          <w:tcPr>
            <w:tcW w:w="1847" w:type="dxa"/>
            <w:shd w:val="clear" w:color="auto" w:fill="auto"/>
          </w:tcPr>
          <w:p w:rsidR="009C53F9" w:rsidRPr="00993686" w:rsidRDefault="009C53F9" w:rsidP="00C1110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936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C53F9" w:rsidRPr="00993686" w:rsidRDefault="009C53F9" w:rsidP="00C1110E">
            <w:pPr>
              <w:spacing w:line="240" w:lineRule="auto"/>
              <w:ind w:right="-7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936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робочого дня</w:t>
            </w:r>
          </w:p>
        </w:tc>
      </w:tr>
      <w:tr w:rsidR="009C53F9" w:rsidRPr="00993686" w:rsidTr="00C1110E">
        <w:tc>
          <w:tcPr>
            <w:tcW w:w="568" w:type="dxa"/>
            <w:shd w:val="clear" w:color="auto" w:fill="auto"/>
          </w:tcPr>
          <w:p w:rsidR="009C53F9" w:rsidRPr="00993686" w:rsidRDefault="009C53F9" w:rsidP="00C111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993686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375" w:type="dxa"/>
            <w:shd w:val="clear" w:color="auto" w:fill="auto"/>
          </w:tcPr>
          <w:p w:rsidR="009C53F9" w:rsidRPr="00993686" w:rsidRDefault="009C53F9" w:rsidP="00C1110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936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разі повернення документів на доопрацювання, підготовка письмового обґрунтування причин повернення документів замовнику та направлення його для підписання керівництву відділу </w:t>
            </w:r>
          </w:p>
        </w:tc>
        <w:tc>
          <w:tcPr>
            <w:tcW w:w="3574" w:type="dxa"/>
            <w:shd w:val="clear" w:color="auto" w:fill="auto"/>
          </w:tcPr>
          <w:p w:rsidR="009C53F9" w:rsidRPr="00993686" w:rsidRDefault="009C53F9" w:rsidP="00C111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936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визначена керівництвом відділу</w:t>
            </w:r>
          </w:p>
        </w:tc>
        <w:tc>
          <w:tcPr>
            <w:tcW w:w="1847" w:type="dxa"/>
            <w:shd w:val="clear" w:color="auto" w:fill="auto"/>
          </w:tcPr>
          <w:p w:rsidR="009C53F9" w:rsidRPr="00993686" w:rsidRDefault="009C53F9" w:rsidP="00C1110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936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</w:t>
            </w:r>
          </w:p>
        </w:tc>
        <w:tc>
          <w:tcPr>
            <w:tcW w:w="1559" w:type="dxa"/>
            <w:shd w:val="clear" w:color="auto" w:fill="auto"/>
          </w:tcPr>
          <w:p w:rsidR="009C53F9" w:rsidRPr="00993686" w:rsidRDefault="009C53F9" w:rsidP="00C1110E">
            <w:pPr>
              <w:spacing w:line="240" w:lineRule="auto"/>
              <w:ind w:right="-7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936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робочого дня</w:t>
            </w:r>
          </w:p>
        </w:tc>
      </w:tr>
      <w:tr w:rsidR="009C53F9" w:rsidRPr="00993686" w:rsidTr="00C1110E">
        <w:tc>
          <w:tcPr>
            <w:tcW w:w="568" w:type="dxa"/>
            <w:shd w:val="clear" w:color="auto" w:fill="auto"/>
          </w:tcPr>
          <w:p w:rsidR="009C53F9" w:rsidRPr="00993686" w:rsidRDefault="009C53F9" w:rsidP="00C111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993686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375" w:type="dxa"/>
            <w:shd w:val="clear" w:color="auto" w:fill="auto"/>
          </w:tcPr>
          <w:p w:rsidR="009C53F9" w:rsidRPr="00993686" w:rsidRDefault="009C53F9" w:rsidP="00C1110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936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Розгляд письмового обґрунтування </w:t>
            </w:r>
            <w:r w:rsidRPr="009936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причин повернення документів замовнику та його підписання керівництвом відділу</w:t>
            </w:r>
          </w:p>
        </w:tc>
        <w:tc>
          <w:tcPr>
            <w:tcW w:w="3574" w:type="dxa"/>
            <w:shd w:val="clear" w:color="auto" w:fill="auto"/>
          </w:tcPr>
          <w:p w:rsidR="009C53F9" w:rsidRPr="00993686" w:rsidRDefault="009C53F9" w:rsidP="00C111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936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Начальник відділу </w:t>
            </w:r>
          </w:p>
        </w:tc>
        <w:tc>
          <w:tcPr>
            <w:tcW w:w="1847" w:type="dxa"/>
            <w:shd w:val="clear" w:color="auto" w:fill="auto"/>
          </w:tcPr>
          <w:p w:rsidR="009C53F9" w:rsidRPr="00993686" w:rsidRDefault="009C53F9" w:rsidP="00C1110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936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</w:t>
            </w:r>
          </w:p>
        </w:tc>
        <w:tc>
          <w:tcPr>
            <w:tcW w:w="1559" w:type="dxa"/>
            <w:shd w:val="clear" w:color="auto" w:fill="auto"/>
          </w:tcPr>
          <w:p w:rsidR="009C53F9" w:rsidRPr="00993686" w:rsidRDefault="009C53F9" w:rsidP="00C1110E">
            <w:pPr>
              <w:spacing w:line="240" w:lineRule="auto"/>
              <w:ind w:right="-7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936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одного </w:t>
            </w:r>
            <w:r w:rsidRPr="009936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робочого дня</w:t>
            </w:r>
          </w:p>
        </w:tc>
      </w:tr>
      <w:tr w:rsidR="009C53F9" w:rsidRPr="00993686" w:rsidTr="00C1110E">
        <w:trPr>
          <w:trHeight w:val="334"/>
        </w:trPr>
        <w:tc>
          <w:tcPr>
            <w:tcW w:w="568" w:type="dxa"/>
            <w:shd w:val="clear" w:color="auto" w:fill="auto"/>
          </w:tcPr>
          <w:p w:rsidR="009C53F9" w:rsidRPr="00993686" w:rsidRDefault="009C53F9" w:rsidP="00C111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993686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2375" w:type="dxa"/>
            <w:shd w:val="clear" w:color="auto" w:fill="auto"/>
          </w:tcPr>
          <w:p w:rsidR="009C53F9" w:rsidRPr="00993686" w:rsidRDefault="009C53F9" w:rsidP="00C1110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936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Повернення документів з письмовим обґрунтуванням причин повернення документів замовнику до Центру</w:t>
            </w:r>
          </w:p>
        </w:tc>
        <w:tc>
          <w:tcPr>
            <w:tcW w:w="3574" w:type="dxa"/>
            <w:shd w:val="clear" w:color="auto" w:fill="auto"/>
          </w:tcPr>
          <w:p w:rsidR="009C53F9" w:rsidRPr="00993686" w:rsidRDefault="009C53F9" w:rsidP="00C1110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936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9C53F9" w:rsidRPr="00993686" w:rsidRDefault="009C53F9" w:rsidP="00C1110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936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</w:t>
            </w:r>
          </w:p>
        </w:tc>
        <w:tc>
          <w:tcPr>
            <w:tcW w:w="1559" w:type="dxa"/>
            <w:shd w:val="clear" w:color="auto" w:fill="auto"/>
          </w:tcPr>
          <w:p w:rsidR="009C53F9" w:rsidRPr="00993686" w:rsidRDefault="009C53F9" w:rsidP="00C1110E">
            <w:pPr>
              <w:spacing w:line="240" w:lineRule="auto"/>
              <w:ind w:right="-7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936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одного робочого дня</w:t>
            </w:r>
          </w:p>
        </w:tc>
      </w:tr>
      <w:tr w:rsidR="009C53F9" w:rsidRPr="00993686" w:rsidTr="00C1110E">
        <w:tc>
          <w:tcPr>
            <w:tcW w:w="568" w:type="dxa"/>
            <w:shd w:val="clear" w:color="auto" w:fill="auto"/>
          </w:tcPr>
          <w:p w:rsidR="009C53F9" w:rsidRPr="00993686" w:rsidRDefault="009C53F9" w:rsidP="00C111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993686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375" w:type="dxa"/>
            <w:shd w:val="clear" w:color="auto" w:fill="auto"/>
          </w:tcPr>
          <w:p w:rsidR="009C53F9" w:rsidRPr="00993686" w:rsidRDefault="009C53F9" w:rsidP="00C1110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936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Направлення повідомлення про повернення документів з письмовим обґрунтуванням причин повернення замовнику</w:t>
            </w:r>
          </w:p>
        </w:tc>
        <w:tc>
          <w:tcPr>
            <w:tcW w:w="3574" w:type="dxa"/>
            <w:shd w:val="clear" w:color="auto" w:fill="auto"/>
          </w:tcPr>
          <w:p w:rsidR="009C53F9" w:rsidRPr="00993686" w:rsidRDefault="009C53F9" w:rsidP="00C111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936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9C53F9" w:rsidRPr="00993686" w:rsidRDefault="009C53F9" w:rsidP="00C111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686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9C53F9" w:rsidRPr="00993686" w:rsidRDefault="009C53F9" w:rsidP="00C1110E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993686">
              <w:rPr>
                <w:rFonts w:ascii="Times New Roman" w:hAnsi="Times New Roman"/>
                <w:sz w:val="24"/>
                <w:szCs w:val="24"/>
              </w:rPr>
              <w:t>У 1-денний строк з дня повернення документів</w:t>
            </w:r>
          </w:p>
        </w:tc>
      </w:tr>
      <w:tr w:rsidR="009C53F9" w:rsidRPr="00993686" w:rsidTr="00C1110E">
        <w:trPr>
          <w:trHeight w:val="1156"/>
        </w:trPr>
        <w:tc>
          <w:tcPr>
            <w:tcW w:w="568" w:type="dxa"/>
            <w:shd w:val="clear" w:color="auto" w:fill="auto"/>
          </w:tcPr>
          <w:p w:rsidR="009C53F9" w:rsidRPr="00993686" w:rsidRDefault="009C53F9" w:rsidP="00C111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993686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375" w:type="dxa"/>
            <w:shd w:val="clear" w:color="auto" w:fill="auto"/>
          </w:tcPr>
          <w:p w:rsidR="009C53F9" w:rsidRPr="00993686" w:rsidRDefault="009C53F9" w:rsidP="00C1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686">
              <w:rPr>
                <w:rFonts w:ascii="Times New Roman" w:hAnsi="Times New Roman"/>
                <w:sz w:val="24"/>
                <w:szCs w:val="24"/>
              </w:rPr>
              <w:t xml:space="preserve">Видача </w:t>
            </w:r>
            <w:r w:rsidRPr="009936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повідомлення про повернення документів з письмовим обґрунтуванням причин повернення замовнику*</w:t>
            </w:r>
          </w:p>
        </w:tc>
        <w:tc>
          <w:tcPr>
            <w:tcW w:w="3574" w:type="dxa"/>
            <w:shd w:val="clear" w:color="auto" w:fill="auto"/>
          </w:tcPr>
          <w:p w:rsidR="009C53F9" w:rsidRPr="00993686" w:rsidRDefault="009C53F9" w:rsidP="00C111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686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847" w:type="dxa"/>
            <w:shd w:val="clear" w:color="auto" w:fill="auto"/>
          </w:tcPr>
          <w:p w:rsidR="009C53F9" w:rsidRPr="00993686" w:rsidRDefault="009C53F9" w:rsidP="00C1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686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9C53F9" w:rsidRPr="00993686" w:rsidRDefault="009C53F9" w:rsidP="00C1110E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993686">
              <w:rPr>
                <w:rFonts w:ascii="Times New Roman" w:hAnsi="Times New Roman"/>
                <w:sz w:val="24"/>
                <w:szCs w:val="24"/>
              </w:rPr>
              <w:t>У день особистого звернення заявника</w:t>
            </w:r>
          </w:p>
        </w:tc>
      </w:tr>
    </w:tbl>
    <w:p w:rsidR="009C53F9" w:rsidRPr="00993686" w:rsidRDefault="009C53F9" w:rsidP="009C53F9">
      <w:pPr>
        <w:suppressAutoHyphens/>
        <w:spacing w:after="0" w:line="240" w:lineRule="auto"/>
        <w:rPr>
          <w:rFonts w:ascii="Times New Roman" w:hAnsi="Times New Roman" w:cs="Calibri"/>
          <w:b/>
          <w:i/>
          <w:sz w:val="28"/>
          <w:szCs w:val="28"/>
          <w:lang w:eastAsia="ar-SA"/>
        </w:rPr>
      </w:pPr>
    </w:p>
    <w:p w:rsidR="009C53F9" w:rsidRPr="00993686" w:rsidRDefault="009C53F9" w:rsidP="009C53F9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993686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* </w:t>
      </w:r>
      <w:r w:rsidRPr="00993686">
        <w:rPr>
          <w:rFonts w:ascii="Times New Roman" w:hAnsi="Times New Roman" w:cs="Calibri"/>
          <w:sz w:val="24"/>
          <w:szCs w:val="24"/>
          <w:lang w:eastAsia="ar-SA"/>
        </w:rPr>
        <w:t>У разі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об’єктів, відомостей про повернення на доопрацювання, відмову у видачі, скасування та анулювання зазначених документів надається інформація з реєстру.</w:t>
      </w:r>
    </w:p>
    <w:p w:rsidR="009C53F9" w:rsidRPr="00993686" w:rsidRDefault="009C53F9" w:rsidP="009C53F9">
      <w:pPr>
        <w:suppressAutoHyphens/>
        <w:spacing w:after="0" w:line="240" w:lineRule="auto"/>
        <w:rPr>
          <w:rFonts w:ascii="Times New Roman" w:hAnsi="Times New Roman" w:cs="Calibri"/>
          <w:b/>
          <w:i/>
          <w:sz w:val="28"/>
          <w:szCs w:val="28"/>
          <w:lang w:eastAsia="ar-SA"/>
        </w:rPr>
      </w:pPr>
    </w:p>
    <w:p w:rsidR="009C53F9" w:rsidRPr="00993686" w:rsidRDefault="009C53F9" w:rsidP="009C53F9">
      <w:pPr>
        <w:suppressAutoHyphens/>
        <w:spacing w:after="0" w:line="240" w:lineRule="auto"/>
        <w:rPr>
          <w:rFonts w:ascii="Times New Roman" w:hAnsi="Times New Roman" w:cs="Calibri"/>
          <w:b/>
          <w:i/>
          <w:sz w:val="28"/>
          <w:szCs w:val="28"/>
          <w:lang w:eastAsia="ar-SA"/>
        </w:rPr>
      </w:pPr>
    </w:p>
    <w:p w:rsidR="009C53F9" w:rsidRPr="00993686" w:rsidRDefault="009C53F9" w:rsidP="009C53F9">
      <w:pPr>
        <w:suppressAutoHyphens/>
        <w:spacing w:after="0" w:line="240" w:lineRule="auto"/>
        <w:rPr>
          <w:rFonts w:ascii="Times New Roman" w:hAnsi="Times New Roman" w:cs="Calibri"/>
          <w:b/>
          <w:i/>
          <w:sz w:val="28"/>
          <w:szCs w:val="28"/>
          <w:lang w:eastAsia="ar-SA"/>
        </w:rPr>
      </w:pPr>
    </w:p>
    <w:p w:rsidR="009C53F9" w:rsidRPr="00993686" w:rsidRDefault="009C53F9" w:rsidP="009C53F9">
      <w:pPr>
        <w:suppressAutoHyphens/>
        <w:spacing w:after="0" w:line="240" w:lineRule="auto"/>
        <w:rPr>
          <w:rFonts w:ascii="Times New Roman" w:hAnsi="Times New Roman" w:cs="Calibri"/>
          <w:b/>
          <w:i/>
          <w:sz w:val="28"/>
          <w:szCs w:val="28"/>
          <w:lang w:eastAsia="ar-SA"/>
        </w:rPr>
      </w:pPr>
    </w:p>
    <w:p w:rsidR="009C53F9" w:rsidRPr="00993686" w:rsidRDefault="009C53F9" w:rsidP="009C53F9">
      <w:pPr>
        <w:suppressAutoHyphens/>
        <w:spacing w:after="0" w:line="240" w:lineRule="auto"/>
        <w:ind w:right="-284"/>
        <w:rPr>
          <w:rFonts w:ascii="Times New Roman" w:hAnsi="Times New Roman" w:cs="Calibri"/>
          <w:b/>
          <w:i/>
          <w:sz w:val="28"/>
          <w:szCs w:val="28"/>
          <w:lang w:eastAsia="ar-SA"/>
        </w:rPr>
      </w:pPr>
      <w:proofErr w:type="spellStart"/>
      <w:r w:rsidRPr="00993686">
        <w:rPr>
          <w:rFonts w:ascii="Times New Roman" w:hAnsi="Times New Roman" w:cs="Calibri"/>
          <w:b/>
          <w:i/>
          <w:sz w:val="28"/>
          <w:szCs w:val="28"/>
          <w:lang w:eastAsia="ar-SA"/>
        </w:rPr>
        <w:t>В.о</w:t>
      </w:r>
      <w:proofErr w:type="spellEnd"/>
      <w:r w:rsidRPr="00993686">
        <w:rPr>
          <w:rFonts w:ascii="Times New Roman" w:hAnsi="Times New Roman" w:cs="Calibri"/>
          <w:b/>
          <w:i/>
          <w:sz w:val="28"/>
          <w:szCs w:val="28"/>
          <w:lang w:eastAsia="ar-SA"/>
        </w:rPr>
        <w:t>. керуючої справами виконкому</w:t>
      </w:r>
      <w:r w:rsidR="00951C6B">
        <w:rPr>
          <w:rFonts w:ascii="Times New Roman" w:hAnsi="Times New Roman" w:cs="Calibri"/>
          <w:b/>
          <w:i/>
          <w:sz w:val="28"/>
          <w:szCs w:val="28"/>
          <w:lang w:eastAsia="ar-SA"/>
        </w:rPr>
        <w:t xml:space="preserve"> </w:t>
      </w:r>
      <w:r w:rsidRPr="00993686">
        <w:rPr>
          <w:rFonts w:ascii="Times New Roman" w:hAnsi="Times New Roman" w:cs="Calibri"/>
          <w:b/>
          <w:i/>
          <w:sz w:val="28"/>
          <w:szCs w:val="28"/>
          <w:lang w:eastAsia="ar-SA"/>
        </w:rPr>
        <w:t>-</w:t>
      </w:r>
    </w:p>
    <w:p w:rsidR="009C53F9" w:rsidRPr="00993686" w:rsidRDefault="009C53F9" w:rsidP="009C53F9">
      <w:pPr>
        <w:ind w:left="-142"/>
        <w:rPr>
          <w:rFonts w:ascii="Times New Roman" w:hAnsi="Times New Roman"/>
          <w:b/>
          <w:i/>
          <w:sz w:val="24"/>
          <w:szCs w:val="24"/>
        </w:rPr>
      </w:pPr>
      <w:r w:rsidRPr="00993686">
        <w:rPr>
          <w:rFonts w:ascii="Times New Roman" w:hAnsi="Times New Roman" w:cs="Calibri"/>
          <w:b/>
          <w:i/>
          <w:sz w:val="28"/>
          <w:szCs w:val="28"/>
          <w:lang w:eastAsia="ar-SA"/>
        </w:rPr>
        <w:t xml:space="preserve">  заступник міського голови</w:t>
      </w:r>
      <w:r w:rsidRPr="00993686">
        <w:rPr>
          <w:rFonts w:ascii="Times New Roman" w:hAnsi="Times New Roman" w:cs="Calibri"/>
          <w:b/>
          <w:i/>
          <w:sz w:val="28"/>
          <w:szCs w:val="28"/>
          <w:lang w:eastAsia="ar-SA"/>
        </w:rPr>
        <w:tab/>
      </w:r>
      <w:r w:rsidRPr="00993686">
        <w:rPr>
          <w:rFonts w:ascii="Times New Roman" w:hAnsi="Times New Roman" w:cs="Calibri"/>
          <w:b/>
          <w:i/>
          <w:sz w:val="28"/>
          <w:szCs w:val="28"/>
          <w:lang w:eastAsia="ar-SA"/>
        </w:rPr>
        <w:tab/>
      </w:r>
      <w:r w:rsidRPr="00993686">
        <w:rPr>
          <w:rFonts w:ascii="Times New Roman" w:hAnsi="Times New Roman" w:cs="Calibri"/>
          <w:b/>
          <w:i/>
          <w:sz w:val="28"/>
          <w:szCs w:val="28"/>
          <w:lang w:eastAsia="ar-SA"/>
        </w:rPr>
        <w:tab/>
      </w:r>
      <w:r w:rsidRPr="00993686">
        <w:rPr>
          <w:rFonts w:ascii="Times New Roman" w:hAnsi="Times New Roman" w:cs="Calibri"/>
          <w:b/>
          <w:i/>
          <w:sz w:val="28"/>
          <w:szCs w:val="28"/>
          <w:lang w:eastAsia="ar-SA"/>
        </w:rPr>
        <w:tab/>
      </w:r>
      <w:r w:rsidRPr="00993686">
        <w:rPr>
          <w:rFonts w:ascii="Times New Roman" w:hAnsi="Times New Roman" w:cs="Calibri"/>
          <w:b/>
          <w:i/>
          <w:sz w:val="28"/>
          <w:szCs w:val="28"/>
          <w:lang w:eastAsia="ar-SA"/>
        </w:rPr>
        <w:tab/>
      </w:r>
      <w:r w:rsidRPr="00993686">
        <w:rPr>
          <w:rFonts w:ascii="Times New Roman" w:hAnsi="Times New Roman" w:cs="Calibri"/>
          <w:b/>
          <w:i/>
          <w:sz w:val="28"/>
          <w:szCs w:val="28"/>
          <w:lang w:eastAsia="ar-SA"/>
        </w:rPr>
        <w:tab/>
        <w:t>В.</w:t>
      </w:r>
      <w:proofErr w:type="spellStart"/>
      <w:r w:rsidRPr="00993686">
        <w:rPr>
          <w:rFonts w:ascii="Times New Roman" w:hAnsi="Times New Roman" w:cs="Calibri"/>
          <w:b/>
          <w:i/>
          <w:sz w:val="28"/>
          <w:szCs w:val="28"/>
          <w:lang w:eastAsia="ar-SA"/>
        </w:rPr>
        <w:t>Бєрлін</w:t>
      </w:r>
      <w:proofErr w:type="spellEnd"/>
    </w:p>
    <w:sectPr w:rsidR="009C53F9" w:rsidRPr="00993686" w:rsidSect="00CB7D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1D3" w:rsidRDefault="00E031D3" w:rsidP="00237C01">
      <w:pPr>
        <w:spacing w:after="0" w:line="240" w:lineRule="auto"/>
      </w:pPr>
      <w:r>
        <w:separator/>
      </w:r>
    </w:p>
  </w:endnote>
  <w:endnote w:type="continuationSeparator" w:id="0">
    <w:p w:rsidR="00E031D3" w:rsidRDefault="00E031D3" w:rsidP="00237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A4" w:rsidRDefault="009809A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A4" w:rsidRDefault="009809A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A4" w:rsidRDefault="009809A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1D3" w:rsidRDefault="00E031D3" w:rsidP="00237C01">
      <w:pPr>
        <w:spacing w:after="0" w:line="240" w:lineRule="auto"/>
      </w:pPr>
      <w:r>
        <w:separator/>
      </w:r>
    </w:p>
  </w:footnote>
  <w:footnote w:type="continuationSeparator" w:id="0">
    <w:p w:rsidR="00E031D3" w:rsidRDefault="00E031D3" w:rsidP="00237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A4" w:rsidRDefault="009809A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52772214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B0EF0" w:rsidRPr="008B045E" w:rsidRDefault="002A782D" w:rsidP="002A782D">
        <w:pPr>
          <w:pStyle w:val="a7"/>
          <w:tabs>
            <w:tab w:val="center" w:pos="4818"/>
            <w:tab w:val="left" w:pos="6323"/>
          </w:tabs>
          <w:rPr>
            <w:rFonts w:ascii="Times New Roman" w:hAnsi="Times New Roman"/>
          </w:rPr>
        </w:pPr>
        <w:r w:rsidRPr="009809A4">
          <w:rPr>
            <w:sz w:val="24"/>
            <w:szCs w:val="24"/>
          </w:rPr>
          <w:tab/>
        </w:r>
        <w:r w:rsidR="007B0EF0" w:rsidRPr="009809A4">
          <w:rPr>
            <w:rFonts w:ascii="Times New Roman" w:hAnsi="Times New Roman"/>
            <w:sz w:val="24"/>
            <w:szCs w:val="24"/>
          </w:rPr>
          <w:fldChar w:fldCharType="begin"/>
        </w:r>
        <w:r w:rsidR="007B0EF0" w:rsidRPr="009809A4">
          <w:rPr>
            <w:rFonts w:ascii="Times New Roman" w:hAnsi="Times New Roman"/>
            <w:sz w:val="24"/>
            <w:szCs w:val="24"/>
          </w:rPr>
          <w:instrText>PAGE   \* MERGEFORMAT</w:instrText>
        </w:r>
        <w:r w:rsidR="007B0EF0" w:rsidRPr="009809A4">
          <w:rPr>
            <w:rFonts w:ascii="Times New Roman" w:hAnsi="Times New Roman"/>
            <w:sz w:val="24"/>
            <w:szCs w:val="24"/>
          </w:rPr>
          <w:fldChar w:fldCharType="separate"/>
        </w:r>
        <w:r w:rsidR="00C778B6" w:rsidRPr="00C778B6">
          <w:rPr>
            <w:rFonts w:ascii="Times New Roman" w:hAnsi="Times New Roman"/>
            <w:noProof/>
            <w:sz w:val="24"/>
            <w:szCs w:val="24"/>
            <w:lang w:val="ru-RU"/>
          </w:rPr>
          <w:t>7</w:t>
        </w:r>
        <w:r w:rsidR="007B0EF0" w:rsidRPr="009809A4">
          <w:rPr>
            <w:rFonts w:ascii="Times New Roman" w:hAnsi="Times New Roman"/>
            <w:sz w:val="24"/>
            <w:szCs w:val="24"/>
          </w:rPr>
          <w:fldChar w:fldCharType="end"/>
        </w:r>
        <w:r w:rsidRPr="009809A4">
          <w:rPr>
            <w:rFonts w:ascii="Times New Roman" w:hAnsi="Times New Roman"/>
            <w:sz w:val="24"/>
            <w:szCs w:val="24"/>
          </w:rPr>
          <w:tab/>
          <w:t xml:space="preserve">               </w:t>
        </w:r>
        <w:r w:rsidR="009809A4">
          <w:rPr>
            <w:rFonts w:ascii="Times New Roman" w:hAnsi="Times New Roman"/>
            <w:sz w:val="24"/>
            <w:szCs w:val="24"/>
          </w:rPr>
          <w:t xml:space="preserve">          </w:t>
        </w:r>
        <w:r w:rsidRPr="009809A4">
          <w:rPr>
            <w:rFonts w:ascii="Times New Roman" w:hAnsi="Times New Roman"/>
            <w:sz w:val="24"/>
            <w:szCs w:val="24"/>
          </w:rPr>
          <w:t xml:space="preserve">             </w:t>
        </w:r>
        <w:r w:rsidRPr="009809A4">
          <w:rPr>
            <w:rFonts w:ascii="Times New Roman" w:hAnsi="Times New Roman"/>
            <w:i/>
            <w:sz w:val="24"/>
            <w:szCs w:val="24"/>
          </w:rPr>
          <w:t>Продовження додатка 1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A4" w:rsidRDefault="009809A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0690"/>
    <w:multiLevelType w:val="multilevel"/>
    <w:tmpl w:val="DAAA40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lang w:val="uk-UA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CFB7CA3"/>
    <w:multiLevelType w:val="multilevel"/>
    <w:tmpl w:val="A4E67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6C665D"/>
    <w:multiLevelType w:val="multilevel"/>
    <w:tmpl w:val="97CE4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390382"/>
    <w:multiLevelType w:val="hybridMultilevel"/>
    <w:tmpl w:val="5EA2C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E4D5E"/>
    <w:multiLevelType w:val="hybridMultilevel"/>
    <w:tmpl w:val="9D764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EE74D1"/>
    <w:multiLevelType w:val="hybridMultilevel"/>
    <w:tmpl w:val="8E5C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6184E"/>
    <w:multiLevelType w:val="hybridMultilevel"/>
    <w:tmpl w:val="7218802C"/>
    <w:lvl w:ilvl="0" w:tplc="8200E0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978"/>
    <w:rsid w:val="00000471"/>
    <w:rsid w:val="000012A3"/>
    <w:rsid w:val="00006E87"/>
    <w:rsid w:val="00011706"/>
    <w:rsid w:val="00014092"/>
    <w:rsid w:val="00034234"/>
    <w:rsid w:val="00037A3E"/>
    <w:rsid w:val="00056A8B"/>
    <w:rsid w:val="00070A26"/>
    <w:rsid w:val="0007265F"/>
    <w:rsid w:val="00072C55"/>
    <w:rsid w:val="00076790"/>
    <w:rsid w:val="0007702C"/>
    <w:rsid w:val="000800F2"/>
    <w:rsid w:val="00091C55"/>
    <w:rsid w:val="00096482"/>
    <w:rsid w:val="000A38D1"/>
    <w:rsid w:val="000B2281"/>
    <w:rsid w:val="000B4DA2"/>
    <w:rsid w:val="000B5F4C"/>
    <w:rsid w:val="000C1BD8"/>
    <w:rsid w:val="000D6647"/>
    <w:rsid w:val="000D7CEA"/>
    <w:rsid w:val="000E296B"/>
    <w:rsid w:val="000E5FAB"/>
    <w:rsid w:val="000F006D"/>
    <w:rsid w:val="000F509B"/>
    <w:rsid w:val="000F5BC3"/>
    <w:rsid w:val="000F6E0B"/>
    <w:rsid w:val="00106081"/>
    <w:rsid w:val="00106481"/>
    <w:rsid w:val="00112B68"/>
    <w:rsid w:val="00115F20"/>
    <w:rsid w:val="001627F5"/>
    <w:rsid w:val="00165367"/>
    <w:rsid w:val="00166234"/>
    <w:rsid w:val="0017036E"/>
    <w:rsid w:val="00170CB1"/>
    <w:rsid w:val="00185D52"/>
    <w:rsid w:val="001874A1"/>
    <w:rsid w:val="00192DCD"/>
    <w:rsid w:val="00193A74"/>
    <w:rsid w:val="001A3BDC"/>
    <w:rsid w:val="001A402A"/>
    <w:rsid w:val="001A5737"/>
    <w:rsid w:val="001A5AED"/>
    <w:rsid w:val="001B0241"/>
    <w:rsid w:val="001C03CA"/>
    <w:rsid w:val="001C0D8A"/>
    <w:rsid w:val="001C4A07"/>
    <w:rsid w:val="001E775C"/>
    <w:rsid w:val="00202C71"/>
    <w:rsid w:val="002047F1"/>
    <w:rsid w:val="00210273"/>
    <w:rsid w:val="0021082F"/>
    <w:rsid w:val="0021135B"/>
    <w:rsid w:val="0021173F"/>
    <w:rsid w:val="00214EB9"/>
    <w:rsid w:val="00217BDD"/>
    <w:rsid w:val="00221248"/>
    <w:rsid w:val="00226B10"/>
    <w:rsid w:val="00237C01"/>
    <w:rsid w:val="00243382"/>
    <w:rsid w:val="00267320"/>
    <w:rsid w:val="002753C4"/>
    <w:rsid w:val="00285299"/>
    <w:rsid w:val="002A228A"/>
    <w:rsid w:val="002A4489"/>
    <w:rsid w:val="002A5BED"/>
    <w:rsid w:val="002A782D"/>
    <w:rsid w:val="002B722E"/>
    <w:rsid w:val="002C3C69"/>
    <w:rsid w:val="002C5D7F"/>
    <w:rsid w:val="002C73F3"/>
    <w:rsid w:val="002D01BD"/>
    <w:rsid w:val="002F1F13"/>
    <w:rsid w:val="002F6677"/>
    <w:rsid w:val="00300DEC"/>
    <w:rsid w:val="00305EDC"/>
    <w:rsid w:val="00307367"/>
    <w:rsid w:val="00310C02"/>
    <w:rsid w:val="00313447"/>
    <w:rsid w:val="00322C81"/>
    <w:rsid w:val="0032604A"/>
    <w:rsid w:val="003310BC"/>
    <w:rsid w:val="00341D75"/>
    <w:rsid w:val="00342BD3"/>
    <w:rsid w:val="00350308"/>
    <w:rsid w:val="00352AEE"/>
    <w:rsid w:val="00363E8C"/>
    <w:rsid w:val="00376F9D"/>
    <w:rsid w:val="003841C1"/>
    <w:rsid w:val="0039418C"/>
    <w:rsid w:val="00397E0D"/>
    <w:rsid w:val="003A17FE"/>
    <w:rsid w:val="003A3EF0"/>
    <w:rsid w:val="003A4ED8"/>
    <w:rsid w:val="003B1D21"/>
    <w:rsid w:val="003B5DB8"/>
    <w:rsid w:val="003D04AA"/>
    <w:rsid w:val="003D0C8F"/>
    <w:rsid w:val="003D7BD2"/>
    <w:rsid w:val="003E11A7"/>
    <w:rsid w:val="003E6ADC"/>
    <w:rsid w:val="00420881"/>
    <w:rsid w:val="0042203F"/>
    <w:rsid w:val="00427415"/>
    <w:rsid w:val="00430361"/>
    <w:rsid w:val="0043097C"/>
    <w:rsid w:val="00430FB6"/>
    <w:rsid w:val="00444675"/>
    <w:rsid w:val="00451EEE"/>
    <w:rsid w:val="00452BBA"/>
    <w:rsid w:val="004647F6"/>
    <w:rsid w:val="00465206"/>
    <w:rsid w:val="00482945"/>
    <w:rsid w:val="004832F0"/>
    <w:rsid w:val="004859AB"/>
    <w:rsid w:val="004874AF"/>
    <w:rsid w:val="00493DB1"/>
    <w:rsid w:val="00497496"/>
    <w:rsid w:val="004A0F30"/>
    <w:rsid w:val="004A3858"/>
    <w:rsid w:val="004B728B"/>
    <w:rsid w:val="004B72A8"/>
    <w:rsid w:val="004C131C"/>
    <w:rsid w:val="004E1E60"/>
    <w:rsid w:val="004F05E3"/>
    <w:rsid w:val="00522615"/>
    <w:rsid w:val="005248AB"/>
    <w:rsid w:val="0053306B"/>
    <w:rsid w:val="00541A90"/>
    <w:rsid w:val="005605CB"/>
    <w:rsid w:val="005851DB"/>
    <w:rsid w:val="0059248D"/>
    <w:rsid w:val="005A00CD"/>
    <w:rsid w:val="005A239D"/>
    <w:rsid w:val="005A5593"/>
    <w:rsid w:val="005B166E"/>
    <w:rsid w:val="005B1863"/>
    <w:rsid w:val="005C16C0"/>
    <w:rsid w:val="005C44C2"/>
    <w:rsid w:val="005D4682"/>
    <w:rsid w:val="005D6BBC"/>
    <w:rsid w:val="005E3469"/>
    <w:rsid w:val="005F35B0"/>
    <w:rsid w:val="005F42FD"/>
    <w:rsid w:val="005F65B7"/>
    <w:rsid w:val="005F67FF"/>
    <w:rsid w:val="00605D3B"/>
    <w:rsid w:val="00605F02"/>
    <w:rsid w:val="00620736"/>
    <w:rsid w:val="006234A5"/>
    <w:rsid w:val="006271F0"/>
    <w:rsid w:val="00631539"/>
    <w:rsid w:val="00632EE0"/>
    <w:rsid w:val="00635837"/>
    <w:rsid w:val="00636D77"/>
    <w:rsid w:val="0064411B"/>
    <w:rsid w:val="006449BD"/>
    <w:rsid w:val="00653C86"/>
    <w:rsid w:val="006579FE"/>
    <w:rsid w:val="00662AF1"/>
    <w:rsid w:val="00664B52"/>
    <w:rsid w:val="00665A67"/>
    <w:rsid w:val="00680FF4"/>
    <w:rsid w:val="00686B1E"/>
    <w:rsid w:val="00690642"/>
    <w:rsid w:val="006921E8"/>
    <w:rsid w:val="00696037"/>
    <w:rsid w:val="006A6E81"/>
    <w:rsid w:val="006A77DB"/>
    <w:rsid w:val="006B62BF"/>
    <w:rsid w:val="006B70BD"/>
    <w:rsid w:val="006C0923"/>
    <w:rsid w:val="006C6F3D"/>
    <w:rsid w:val="006D5858"/>
    <w:rsid w:val="006D6B33"/>
    <w:rsid w:val="006E16E7"/>
    <w:rsid w:val="006E6978"/>
    <w:rsid w:val="00720E03"/>
    <w:rsid w:val="007242F0"/>
    <w:rsid w:val="00724A68"/>
    <w:rsid w:val="00732240"/>
    <w:rsid w:val="00735C35"/>
    <w:rsid w:val="0074086E"/>
    <w:rsid w:val="00754DC5"/>
    <w:rsid w:val="00756C37"/>
    <w:rsid w:val="0076494D"/>
    <w:rsid w:val="00766B16"/>
    <w:rsid w:val="007829D9"/>
    <w:rsid w:val="00785201"/>
    <w:rsid w:val="00796EB5"/>
    <w:rsid w:val="00796FE3"/>
    <w:rsid w:val="007A0EEA"/>
    <w:rsid w:val="007B0EF0"/>
    <w:rsid w:val="007B23DE"/>
    <w:rsid w:val="007B2E26"/>
    <w:rsid w:val="007C4ED8"/>
    <w:rsid w:val="007C6C10"/>
    <w:rsid w:val="007D11E9"/>
    <w:rsid w:val="007D4F15"/>
    <w:rsid w:val="007F2C8F"/>
    <w:rsid w:val="00800CCA"/>
    <w:rsid w:val="00815B52"/>
    <w:rsid w:val="00827725"/>
    <w:rsid w:val="008311F9"/>
    <w:rsid w:val="00832F67"/>
    <w:rsid w:val="00855043"/>
    <w:rsid w:val="0085655D"/>
    <w:rsid w:val="0088487F"/>
    <w:rsid w:val="008906B6"/>
    <w:rsid w:val="008A5F3A"/>
    <w:rsid w:val="008B045E"/>
    <w:rsid w:val="008C53DD"/>
    <w:rsid w:val="008E62DD"/>
    <w:rsid w:val="008F3477"/>
    <w:rsid w:val="008F5BC9"/>
    <w:rsid w:val="0090082B"/>
    <w:rsid w:val="009036F2"/>
    <w:rsid w:val="009255B4"/>
    <w:rsid w:val="00927FA3"/>
    <w:rsid w:val="0093143E"/>
    <w:rsid w:val="0093229B"/>
    <w:rsid w:val="00932C72"/>
    <w:rsid w:val="00933DC1"/>
    <w:rsid w:val="00940A9F"/>
    <w:rsid w:val="00941FA3"/>
    <w:rsid w:val="00951C6B"/>
    <w:rsid w:val="00960EB0"/>
    <w:rsid w:val="0097469B"/>
    <w:rsid w:val="00977ED6"/>
    <w:rsid w:val="009809A4"/>
    <w:rsid w:val="00984275"/>
    <w:rsid w:val="00985204"/>
    <w:rsid w:val="00985679"/>
    <w:rsid w:val="00993686"/>
    <w:rsid w:val="00996A04"/>
    <w:rsid w:val="009A21FB"/>
    <w:rsid w:val="009A453A"/>
    <w:rsid w:val="009C0EFC"/>
    <w:rsid w:val="009C4071"/>
    <w:rsid w:val="009C53F9"/>
    <w:rsid w:val="009D4BC5"/>
    <w:rsid w:val="009D6470"/>
    <w:rsid w:val="009E388D"/>
    <w:rsid w:val="009E55A2"/>
    <w:rsid w:val="00A0020C"/>
    <w:rsid w:val="00A00266"/>
    <w:rsid w:val="00A063BF"/>
    <w:rsid w:val="00A06B01"/>
    <w:rsid w:val="00A107F3"/>
    <w:rsid w:val="00A256C0"/>
    <w:rsid w:val="00A27358"/>
    <w:rsid w:val="00A32BDE"/>
    <w:rsid w:val="00A349D0"/>
    <w:rsid w:val="00A3692B"/>
    <w:rsid w:val="00A41647"/>
    <w:rsid w:val="00A43D59"/>
    <w:rsid w:val="00A475A4"/>
    <w:rsid w:val="00A53054"/>
    <w:rsid w:val="00A55C73"/>
    <w:rsid w:val="00A55F3F"/>
    <w:rsid w:val="00A72BAC"/>
    <w:rsid w:val="00A74493"/>
    <w:rsid w:val="00A77DAC"/>
    <w:rsid w:val="00A81559"/>
    <w:rsid w:val="00A93F20"/>
    <w:rsid w:val="00A94A9D"/>
    <w:rsid w:val="00AB1B6D"/>
    <w:rsid w:val="00AB67AA"/>
    <w:rsid w:val="00AC6F10"/>
    <w:rsid w:val="00AC7693"/>
    <w:rsid w:val="00AD743D"/>
    <w:rsid w:val="00AE4ABC"/>
    <w:rsid w:val="00AE756D"/>
    <w:rsid w:val="00AF55E3"/>
    <w:rsid w:val="00AF7083"/>
    <w:rsid w:val="00B1673E"/>
    <w:rsid w:val="00B179DE"/>
    <w:rsid w:val="00B20C11"/>
    <w:rsid w:val="00B32BD6"/>
    <w:rsid w:val="00B469A3"/>
    <w:rsid w:val="00B570BC"/>
    <w:rsid w:val="00B645AC"/>
    <w:rsid w:val="00B70AB4"/>
    <w:rsid w:val="00B76FE7"/>
    <w:rsid w:val="00B8571E"/>
    <w:rsid w:val="00B87801"/>
    <w:rsid w:val="00BA49D6"/>
    <w:rsid w:val="00BA7B4E"/>
    <w:rsid w:val="00BB23DA"/>
    <w:rsid w:val="00BC06CD"/>
    <w:rsid w:val="00BC0ACA"/>
    <w:rsid w:val="00BC361C"/>
    <w:rsid w:val="00BC7074"/>
    <w:rsid w:val="00BE2DD9"/>
    <w:rsid w:val="00BE6F5D"/>
    <w:rsid w:val="00BE7422"/>
    <w:rsid w:val="00C04705"/>
    <w:rsid w:val="00C071BC"/>
    <w:rsid w:val="00C0728D"/>
    <w:rsid w:val="00C33EC3"/>
    <w:rsid w:val="00C353D8"/>
    <w:rsid w:val="00C365CA"/>
    <w:rsid w:val="00C41EBD"/>
    <w:rsid w:val="00C46A12"/>
    <w:rsid w:val="00C64DCF"/>
    <w:rsid w:val="00C64F33"/>
    <w:rsid w:val="00C778B6"/>
    <w:rsid w:val="00C83EF1"/>
    <w:rsid w:val="00C918DD"/>
    <w:rsid w:val="00C93A3F"/>
    <w:rsid w:val="00C956BF"/>
    <w:rsid w:val="00C97AA8"/>
    <w:rsid w:val="00CA5229"/>
    <w:rsid w:val="00CA5F75"/>
    <w:rsid w:val="00CA6513"/>
    <w:rsid w:val="00CA7A04"/>
    <w:rsid w:val="00CB7D77"/>
    <w:rsid w:val="00CD0697"/>
    <w:rsid w:val="00CD7B8D"/>
    <w:rsid w:val="00CF5750"/>
    <w:rsid w:val="00CF68EF"/>
    <w:rsid w:val="00D0097A"/>
    <w:rsid w:val="00D05A16"/>
    <w:rsid w:val="00D14CFC"/>
    <w:rsid w:val="00D24975"/>
    <w:rsid w:val="00D24F0F"/>
    <w:rsid w:val="00D30E8C"/>
    <w:rsid w:val="00D31351"/>
    <w:rsid w:val="00D32CA1"/>
    <w:rsid w:val="00D42B28"/>
    <w:rsid w:val="00D435AE"/>
    <w:rsid w:val="00D44977"/>
    <w:rsid w:val="00D50C0A"/>
    <w:rsid w:val="00D6139B"/>
    <w:rsid w:val="00D63FC6"/>
    <w:rsid w:val="00D64491"/>
    <w:rsid w:val="00D655ED"/>
    <w:rsid w:val="00D67252"/>
    <w:rsid w:val="00D73259"/>
    <w:rsid w:val="00D76897"/>
    <w:rsid w:val="00D83F32"/>
    <w:rsid w:val="00D920A7"/>
    <w:rsid w:val="00D9314C"/>
    <w:rsid w:val="00DA3C78"/>
    <w:rsid w:val="00DB0841"/>
    <w:rsid w:val="00DB261B"/>
    <w:rsid w:val="00DC2FFD"/>
    <w:rsid w:val="00DC6710"/>
    <w:rsid w:val="00DD7D20"/>
    <w:rsid w:val="00DE2950"/>
    <w:rsid w:val="00DE5265"/>
    <w:rsid w:val="00DF0CB7"/>
    <w:rsid w:val="00DF5700"/>
    <w:rsid w:val="00DF6283"/>
    <w:rsid w:val="00E031D3"/>
    <w:rsid w:val="00E05680"/>
    <w:rsid w:val="00E06B82"/>
    <w:rsid w:val="00E1070B"/>
    <w:rsid w:val="00E1773C"/>
    <w:rsid w:val="00E20131"/>
    <w:rsid w:val="00E346A2"/>
    <w:rsid w:val="00E35D3F"/>
    <w:rsid w:val="00E36529"/>
    <w:rsid w:val="00E50699"/>
    <w:rsid w:val="00E70AB3"/>
    <w:rsid w:val="00E91426"/>
    <w:rsid w:val="00E929A1"/>
    <w:rsid w:val="00EA1AB2"/>
    <w:rsid w:val="00EA614A"/>
    <w:rsid w:val="00EB13CC"/>
    <w:rsid w:val="00EB27CD"/>
    <w:rsid w:val="00EB7C1B"/>
    <w:rsid w:val="00EC42D4"/>
    <w:rsid w:val="00ED2A79"/>
    <w:rsid w:val="00ED4376"/>
    <w:rsid w:val="00EE2537"/>
    <w:rsid w:val="00EE6A54"/>
    <w:rsid w:val="00EF4DE2"/>
    <w:rsid w:val="00EF6867"/>
    <w:rsid w:val="00F01530"/>
    <w:rsid w:val="00F064CE"/>
    <w:rsid w:val="00F06948"/>
    <w:rsid w:val="00F07B6B"/>
    <w:rsid w:val="00F10198"/>
    <w:rsid w:val="00F11978"/>
    <w:rsid w:val="00F3439D"/>
    <w:rsid w:val="00F52B6C"/>
    <w:rsid w:val="00F52F9D"/>
    <w:rsid w:val="00F53A29"/>
    <w:rsid w:val="00F61055"/>
    <w:rsid w:val="00F6647F"/>
    <w:rsid w:val="00F9301E"/>
    <w:rsid w:val="00FA3264"/>
    <w:rsid w:val="00FA3ABF"/>
    <w:rsid w:val="00FB1D25"/>
    <w:rsid w:val="00FC71B1"/>
    <w:rsid w:val="00FD3BA3"/>
    <w:rsid w:val="00FE0789"/>
    <w:rsid w:val="00FE207A"/>
    <w:rsid w:val="00FF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BF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20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20131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99"/>
    <w:qFormat/>
    <w:rsid w:val="00CA7A04"/>
    <w:pPr>
      <w:ind w:left="720"/>
      <w:contextualSpacing/>
    </w:pPr>
  </w:style>
  <w:style w:type="character" w:styleId="a6">
    <w:name w:val="Strong"/>
    <w:basedOn w:val="a0"/>
    <w:uiPriority w:val="99"/>
    <w:qFormat/>
    <w:locked/>
    <w:rsid w:val="00451EEE"/>
    <w:rPr>
      <w:rFonts w:cs="Times New Roman"/>
      <w:b/>
      <w:bCs/>
    </w:rPr>
  </w:style>
  <w:style w:type="paragraph" w:styleId="a7">
    <w:name w:val="header"/>
    <w:basedOn w:val="a"/>
    <w:link w:val="a8"/>
    <w:uiPriority w:val="99"/>
    <w:unhideWhenUsed/>
    <w:rsid w:val="00237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7C01"/>
    <w:rPr>
      <w:lang w:val="uk-UA"/>
    </w:rPr>
  </w:style>
  <w:style w:type="paragraph" w:styleId="a9">
    <w:name w:val="footer"/>
    <w:basedOn w:val="a"/>
    <w:link w:val="aa"/>
    <w:uiPriority w:val="99"/>
    <w:unhideWhenUsed/>
    <w:rsid w:val="00237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7C01"/>
    <w:rPr>
      <w:lang w:val="uk-UA"/>
    </w:rPr>
  </w:style>
  <w:style w:type="paragraph" w:styleId="ab">
    <w:name w:val="Normal (Web)"/>
    <w:basedOn w:val="a"/>
    <w:uiPriority w:val="99"/>
    <w:unhideWhenUsed/>
    <w:rsid w:val="00D7325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305E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305E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BF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20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20131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99"/>
    <w:qFormat/>
    <w:rsid w:val="00CA7A04"/>
    <w:pPr>
      <w:ind w:left="720"/>
      <w:contextualSpacing/>
    </w:pPr>
  </w:style>
  <w:style w:type="character" w:styleId="a6">
    <w:name w:val="Strong"/>
    <w:basedOn w:val="a0"/>
    <w:uiPriority w:val="99"/>
    <w:qFormat/>
    <w:locked/>
    <w:rsid w:val="00451EEE"/>
    <w:rPr>
      <w:rFonts w:cs="Times New Roman"/>
      <w:b/>
      <w:bCs/>
    </w:rPr>
  </w:style>
  <w:style w:type="paragraph" w:styleId="a7">
    <w:name w:val="header"/>
    <w:basedOn w:val="a"/>
    <w:link w:val="a8"/>
    <w:uiPriority w:val="99"/>
    <w:unhideWhenUsed/>
    <w:rsid w:val="00237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7C01"/>
    <w:rPr>
      <w:lang w:val="uk-UA"/>
    </w:rPr>
  </w:style>
  <w:style w:type="paragraph" w:styleId="a9">
    <w:name w:val="footer"/>
    <w:basedOn w:val="a"/>
    <w:link w:val="aa"/>
    <w:uiPriority w:val="99"/>
    <w:unhideWhenUsed/>
    <w:rsid w:val="00237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7C01"/>
    <w:rPr>
      <w:lang w:val="uk-UA"/>
    </w:rPr>
  </w:style>
  <w:style w:type="paragraph" w:styleId="ab">
    <w:name w:val="Normal (Web)"/>
    <w:basedOn w:val="a"/>
    <w:uiPriority w:val="99"/>
    <w:unhideWhenUsed/>
    <w:rsid w:val="00D7325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305E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305E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zakon.rada.gov.ua/laws/show/3038-17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2CB62-A401-43A1-8D61-A6FA570C7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sklyar-mv</dc:creator>
  <cp:lastModifiedBy>org301</cp:lastModifiedBy>
  <cp:revision>16</cp:revision>
  <cp:lastPrinted>2018-10-23T13:41:00Z</cp:lastPrinted>
  <dcterms:created xsi:type="dcterms:W3CDTF">2018-09-11T12:55:00Z</dcterms:created>
  <dcterms:modified xsi:type="dcterms:W3CDTF">2018-10-24T13:45:00Z</dcterms:modified>
</cp:coreProperties>
</file>