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4" w:rsidRPr="00110C5D" w:rsidRDefault="00395A16" w:rsidP="00B518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C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776FE5" w:rsidRPr="00110C5D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6A73BF" w:rsidRPr="00110C5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76FE5" w:rsidRPr="00110C5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76FE5" w:rsidRPr="00110C5D">
        <w:rPr>
          <w:rFonts w:ascii="Times New Roman" w:hAnsi="Times New Roman" w:cs="Times New Roman"/>
          <w:i/>
          <w:sz w:val="24"/>
          <w:szCs w:val="24"/>
        </w:rPr>
        <w:t xml:space="preserve">Додаток 2 </w:t>
      </w:r>
    </w:p>
    <w:p w:rsidR="00110D44" w:rsidRPr="00110C5D" w:rsidRDefault="00395A16" w:rsidP="00B518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C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B5181F" w:rsidRPr="00110C5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A73BF" w:rsidRPr="00110C5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5181F" w:rsidRPr="00110C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A73BF" w:rsidRPr="00110C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5181F" w:rsidRPr="00110C5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76FE5" w:rsidRPr="00110C5D">
        <w:rPr>
          <w:rFonts w:ascii="Times New Roman" w:hAnsi="Times New Roman" w:cs="Times New Roman"/>
          <w:i/>
          <w:sz w:val="24"/>
          <w:szCs w:val="24"/>
        </w:rPr>
        <w:t>до р</w:t>
      </w:r>
      <w:r w:rsidR="00110D44" w:rsidRPr="00110C5D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:rsidR="00110C5D" w:rsidRPr="00110C5D" w:rsidRDefault="00110C5D" w:rsidP="00110C5D">
      <w:pPr>
        <w:tabs>
          <w:tab w:val="left" w:pos="5775"/>
        </w:tabs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C5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10C5D">
        <w:rPr>
          <w:rFonts w:ascii="Times New Roman" w:eastAsia="Times New Roman" w:hAnsi="Times New Roman" w:cs="Times New Roman"/>
          <w:i/>
          <w:sz w:val="24"/>
          <w:szCs w:val="24"/>
        </w:rPr>
        <w:t>10.05.2018 №230</w:t>
      </w:r>
    </w:p>
    <w:p w:rsidR="00110C5D" w:rsidRPr="00110C5D" w:rsidRDefault="00110C5D" w:rsidP="00110C5D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C67B3A" w:rsidRPr="00110C5D" w:rsidRDefault="00C67B3A" w:rsidP="00395A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A3567" w:rsidRPr="00110C5D" w:rsidRDefault="00CA3567" w:rsidP="00395A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181F" w:rsidRPr="00110C5D" w:rsidRDefault="00B5181F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ІНФОРМАЦІЙНІ КАРТКИ</w:t>
      </w:r>
    </w:p>
    <w:p w:rsidR="00B5181F" w:rsidRPr="00110C5D" w:rsidRDefault="00B5181F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адміністративної та публічних послуг, що </w:t>
      </w: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надаються </w:t>
      </w:r>
      <w:r w:rsidRPr="00110C5D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uk-UA"/>
        </w:rPr>
        <w:t xml:space="preserve">управлінням благоустрою та житлової політики виконкому Криворізької міської ради </w:t>
      </w: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в Центрі адміністративних послуг «Віза» та його територіальних підрозділах</w:t>
      </w:r>
      <w:bookmarkStart w:id="0" w:name="_GoBack"/>
      <w:bookmarkEnd w:id="0"/>
    </w:p>
    <w:p w:rsidR="00B5181F" w:rsidRPr="00110C5D" w:rsidRDefault="00B5181F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p w:rsidR="00C67B3A" w:rsidRPr="00110C5D" w:rsidRDefault="00C67B3A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p w:rsidR="00C67B3A" w:rsidRPr="00110C5D" w:rsidRDefault="00C67B3A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p w:rsidR="00110D44" w:rsidRPr="00110C5D" w:rsidRDefault="00110D44" w:rsidP="00395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</w:t>
      </w:r>
      <w:r w:rsidR="00273581"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</w:t>
      </w:r>
      <w:r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КАРТК</w:t>
      </w:r>
      <w:r w:rsidR="00273581"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</w:t>
      </w:r>
      <w:r w:rsidR="00ED3ED1"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B5181F"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ПУБЛІЧНОЇ ПОСЛУГИ  </w:t>
      </w:r>
      <w:r w:rsidR="00ED3ED1" w:rsidRPr="00110C5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№6</w:t>
      </w:r>
    </w:p>
    <w:p w:rsidR="00B5181F" w:rsidRPr="00110C5D" w:rsidRDefault="00B5181F" w:rsidP="00395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C67B3A" w:rsidRPr="00110C5D" w:rsidRDefault="00C67B3A" w:rsidP="00395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B5181F" w:rsidRPr="00110C5D" w:rsidRDefault="00395A16" w:rsidP="00B518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</w:t>
      </w:r>
      <w:r w:rsidR="009029EF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З</w:t>
      </w: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міна функціонального призначення приміщення, що переведено</w:t>
      </w:r>
      <w:r w:rsidR="00B5181F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в </w:t>
      </w:r>
      <w:proofErr w:type="spellStart"/>
      <w:r w:rsidR="00B5181F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нежитло-</w:t>
      </w:r>
      <w:proofErr w:type="spellEnd"/>
      <w:r w:rsidR="00B5181F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</w:p>
    <w:p w:rsidR="00B5181F" w:rsidRPr="00110C5D" w:rsidRDefault="00B5181F" w:rsidP="00B518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                                        вий фонд </w:t>
      </w:r>
    </w:p>
    <w:p w:rsidR="009029EF" w:rsidRPr="00110C5D" w:rsidRDefault="009029EF" w:rsidP="00B518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                      (</w:t>
      </w:r>
      <w:r w:rsidR="00CA3567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застосов</w:t>
      </w:r>
      <w:r w:rsidR="006A73BF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ується </w:t>
      </w:r>
      <w:r w:rsidR="00CA3567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з 2</w:t>
      </w:r>
      <w:r w:rsidR="007A0281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3</w:t>
      </w:r>
      <w:r w:rsidR="00CA3567"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.05.2018)</w:t>
      </w:r>
    </w:p>
    <w:p w:rsidR="00395A16" w:rsidRPr="00110C5D" w:rsidRDefault="00395A16" w:rsidP="00395A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10C5D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3120"/>
        <w:gridCol w:w="5813"/>
      </w:tblGrid>
      <w:tr w:rsidR="00395A16" w:rsidRPr="00110C5D" w:rsidTr="00395A16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395A16" w:rsidRPr="00110C5D" w:rsidTr="00395A16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A16" w:rsidRPr="00110C5D" w:rsidRDefault="00395A16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102, (0564) 71-55-57.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113,  (056) 440-32-20.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406-50-60.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119, (0564) 64-31-55.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126, (0564) 35-41-74.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44, (0564) 90-21-65</w:t>
            </w:r>
          </w:p>
        </w:tc>
      </w:tr>
      <w:tr w:rsidR="00395A16" w:rsidRPr="00110C5D" w:rsidTr="00395A16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16.00 години (вівторок, четвер – до 20.00 години), без перерви. 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A16" w:rsidRPr="00110C5D" w:rsidTr="00395A16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</w:t>
            </w: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</w:t>
            </w:r>
            <w:r w:rsidRPr="0011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www.kr.gov.ua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5A16" w:rsidRPr="00110C5D" w:rsidRDefault="00625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95A16" w:rsidRPr="00110C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www.kroqerс.info</w:t>
              </w:r>
            </w:hyperlink>
          </w:p>
        </w:tc>
      </w:tr>
      <w:tr w:rsidR="00395A16" w:rsidRPr="00110C5D" w:rsidTr="00395A16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публічної  послуги</w:t>
            </w:r>
          </w:p>
        </w:tc>
      </w:tr>
      <w:tr w:rsidR="00395A16" w:rsidRPr="00110C5D" w:rsidTr="00395A16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Цивільний кодекс України, Житловий кодекс Української РСР, Закони України «Про місцеве самоврядування в  Україні», «Про захист </w:t>
            </w:r>
            <w:proofErr w:type="spellStart"/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701435" w:rsidRPr="00110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нальних</w:t>
            </w:r>
            <w:proofErr w:type="spellEnd"/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даних», «Про оцінку майна, майнових прав та професійну оціночну діяльність в Україні», «Про приватизацію державного житлового фонду», «Про об’єднання співвласників багатоквартирного будинку»</w:t>
            </w:r>
          </w:p>
        </w:tc>
      </w:tr>
      <w:tr w:rsidR="00395A16" w:rsidRPr="00110C5D" w:rsidTr="00395A16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Ради Міністрів</w:t>
            </w:r>
          </w:p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Української РСР від 26 квітня 1984 року №189, Порядок проведення професійної атестації відповідальних виконавців окремих видів робіт (послуг), пов’язаних із створенням об’єктів архітектури, затверджений Постановою Кабінету Міністрів України від 23 травня 2011 року №554</w:t>
            </w:r>
          </w:p>
        </w:tc>
      </w:tr>
      <w:tr w:rsidR="00395A16" w:rsidRPr="00110C5D" w:rsidTr="00395A16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5A16" w:rsidRPr="00110C5D" w:rsidTr="00395A16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 від 28.08.2013 №2161 «Про Порядок переведення житлових будинків і приміщень (квартир) у нежитлові  у м. Кривому Розі»</w:t>
            </w:r>
          </w:p>
        </w:tc>
      </w:tr>
      <w:tr w:rsidR="00395A16" w:rsidRPr="00110C5D" w:rsidTr="00395A16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16" w:rsidRPr="00110C5D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95A16" w:rsidRPr="00110C5D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  <w:p w:rsidR="00395A16" w:rsidRPr="00110C5D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95A16" w:rsidRPr="00110C5D" w:rsidTr="00395A16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пакету документів</w:t>
            </w:r>
          </w:p>
        </w:tc>
      </w:tr>
      <w:tr w:rsidR="00395A16" w:rsidRPr="00110C5D" w:rsidTr="00395A16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публічної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пос-луги</w:t>
            </w:r>
            <w:proofErr w:type="spellEnd"/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Заява встановленого зразка;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38B" w:rsidRPr="00110C5D">
              <w:rPr>
                <w:rFonts w:ascii="Times New Roman" w:hAnsi="Times New Roman"/>
                <w:sz w:val="24"/>
                <w:szCs w:val="24"/>
              </w:rPr>
              <w:t>копія документа, що посвідчує право власності на об’єкт нерухомого майна, розташований на земельній ділянці, у разі якщо таке право виникло та було зареєстровано до 01.01.2003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- довідки підприємств-надава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чів </w:t>
            </w:r>
            <w:proofErr w:type="spellStart"/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житлово-кому-нальних</w:t>
            </w:r>
            <w:proofErr w:type="spellEnd"/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що надають 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споживачам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міста послуги з постачання води, газу, теплової та електричної енергії, утримання житлових буди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нків та прибудинкових територій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ро відсутність </w:t>
            </w:r>
            <w:proofErr w:type="spellStart"/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гованості</w:t>
            </w:r>
            <w:proofErr w:type="spellEnd"/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з оплати  цих послуг за 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>, щодо яко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 вирішується питання зміни функціонального призначення; </w:t>
            </w:r>
          </w:p>
          <w:p w:rsidR="009F0232" w:rsidRPr="00110C5D" w:rsidRDefault="00395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технічний висновок щодо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обстеження конструктивних елементів нежитлового приміщення та квартир, розташованих поруч і  вище нежитлового приміщення, з урахуванням стану </w:t>
            </w:r>
            <w:r w:rsidR="00C67B3A" w:rsidRPr="00110C5D">
              <w:rPr>
                <w:rFonts w:ascii="Times New Roman" w:hAnsi="Times New Roman" w:cs="Times New Roman"/>
                <w:sz w:val="24"/>
                <w:szCs w:val="24"/>
              </w:rPr>
              <w:t>наявних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інженерних мереж, </w:t>
            </w:r>
            <w:r w:rsidR="00FC04D2" w:rsidRPr="00110C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виснов</w:t>
            </w:r>
            <w:r w:rsidR="00FC04D2" w:rsidRPr="00110C5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можливість дотримання вимог пунктів 1.5, 2.8, 2.50, 2.53, 2.55 ДБН В.2.2-15-2005 «Житлові будинки. Основні </w:t>
            </w:r>
            <w:r w:rsidR="006A73BF" w:rsidRPr="0011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положення»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суб’єкт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господарювання, який має 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сертифікат на право виконання відповідних робіт</w:t>
            </w:r>
            <w:r w:rsidR="0030338B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(при здійсненні реконструкції) або</w:t>
            </w:r>
            <w:r w:rsidR="009F0232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технічний висновок </w:t>
            </w:r>
            <w:r w:rsidR="004F4234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щодо можливості використання нежитлового приміщення під певний об’єкт бізнесу, виконаний суб’єктом господарювання, який має 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сертифікат на право виконання відповідних робіт (якщо реконструкція не здійснювалас</w:t>
            </w:r>
            <w:r w:rsidR="00C67B3A" w:rsidRPr="00110C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3ED1" w:rsidRPr="00110C5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4F4234"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A16" w:rsidRPr="00110C5D" w:rsidRDefault="00395A16" w:rsidP="0030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A48" w:rsidRPr="00110C5D">
              <w:rPr>
                <w:rFonts w:ascii="Times New Roman" w:hAnsi="Times New Roman" w:cs="Times New Roman"/>
                <w:sz w:val="24"/>
                <w:szCs w:val="24"/>
              </w:rPr>
              <w:t>акт про наявність згоди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власників та співвласників приватизованих квартир усього житлового будинку на реконструкцію приміщення для подальшого використання за певним призначенням, датован</w:t>
            </w:r>
            <w:r w:rsidR="00C67B3A" w:rsidRPr="00110C5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10C5D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ніж за три місяці до терміну подачі документів, з додаванням завірених ксерокопій планів усіх поверхів будинку (для ЖБК, ОСББ – виписк</w:t>
            </w:r>
            <w:r w:rsidR="004F4234" w:rsidRPr="00110C5D">
              <w:rPr>
                <w:rFonts w:ascii="Times New Roman" w:hAnsi="Times New Roman" w:cs="Times New Roman"/>
                <w:sz w:val="24"/>
                <w:szCs w:val="24"/>
              </w:rPr>
              <w:t>а з протоколу загальних зборів)</w:t>
            </w:r>
          </w:p>
        </w:tc>
      </w:tr>
      <w:tr w:rsidR="00395A16" w:rsidRPr="00110C5D" w:rsidTr="00395A16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рекомен</w:t>
            </w:r>
            <w:r w:rsidR="004F4234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дованим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395A16" w:rsidRPr="00110C5D" w:rsidTr="00395A16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неповного пакету документів;</w:t>
            </w:r>
          </w:p>
          <w:p w:rsidR="00395A16" w:rsidRPr="00110C5D" w:rsidRDefault="00395A16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5D"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пакету документів вимогам чинного законодавства</w:t>
            </w:r>
          </w:p>
        </w:tc>
      </w:tr>
      <w:tr w:rsidR="00395A16" w:rsidRPr="00110C5D" w:rsidTr="00395A16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</w:t>
            </w:r>
          </w:p>
        </w:tc>
      </w:tr>
      <w:tr w:rsidR="00395A16" w:rsidRPr="00110C5D" w:rsidTr="00395A16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395A16" w:rsidRPr="00110C5D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110C5D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110C5D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</w:tc>
      </w:tr>
    </w:tbl>
    <w:p w:rsidR="0051296A" w:rsidRPr="00110C5D" w:rsidRDefault="0051296A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1435" w:rsidRPr="00110C5D" w:rsidRDefault="00701435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3567" w:rsidRPr="00110C5D" w:rsidRDefault="00CA3567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3567" w:rsidRPr="00110C5D" w:rsidRDefault="00CA3567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3567" w:rsidRPr="00110C5D" w:rsidRDefault="00CA3567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0C5D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ТЕХНОЛОГІЧНІ КАРТКИ </w:t>
      </w: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bCs/>
          <w:i/>
          <w:iCs/>
          <w:sz w:val="24"/>
          <w:szCs w:val="24"/>
        </w:rPr>
        <w:t xml:space="preserve">адміністративної  та публічних послуг, що </w:t>
      </w:r>
      <w:r w:rsidRPr="00110C5D">
        <w:rPr>
          <w:rFonts w:ascii="Times New Roman" w:hAnsi="Times New Roman"/>
          <w:b/>
          <w:i/>
          <w:sz w:val="24"/>
          <w:szCs w:val="24"/>
        </w:rPr>
        <w:t xml:space="preserve">надаються </w:t>
      </w:r>
      <w:r w:rsidRPr="00110C5D">
        <w:rPr>
          <w:rFonts w:ascii="Times New Roman" w:hAnsi="Times New Roman"/>
          <w:b/>
          <w:i/>
          <w:color w:val="000000"/>
          <w:sz w:val="24"/>
          <w:szCs w:val="24"/>
        </w:rPr>
        <w:t xml:space="preserve">управлінням благоустрою та житлової політики виконкому Криворізької міської ради </w:t>
      </w:r>
      <w:r w:rsidRPr="00110C5D">
        <w:rPr>
          <w:rFonts w:ascii="Times New Roman" w:hAnsi="Times New Roman"/>
          <w:b/>
          <w:i/>
          <w:sz w:val="24"/>
          <w:szCs w:val="24"/>
        </w:rPr>
        <w:t>в Центрі адміністративних послуг «Віза» та його територіальних підрозділах</w:t>
      </w: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0C5D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ТЕХНОЛОГІЧНА КАРТКА №6 </w:t>
      </w: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bCs/>
          <w:i/>
          <w:iCs/>
          <w:sz w:val="24"/>
          <w:szCs w:val="24"/>
        </w:rPr>
        <w:t xml:space="preserve">публічної послуги, що </w:t>
      </w:r>
      <w:r w:rsidRPr="00110C5D">
        <w:rPr>
          <w:rFonts w:ascii="Times New Roman" w:hAnsi="Times New Roman"/>
          <w:b/>
          <w:i/>
          <w:sz w:val="24"/>
          <w:szCs w:val="24"/>
        </w:rPr>
        <w:t xml:space="preserve">надаються </w:t>
      </w:r>
      <w:r w:rsidRPr="00110C5D">
        <w:rPr>
          <w:rFonts w:ascii="Times New Roman" w:hAnsi="Times New Roman"/>
          <w:b/>
          <w:i/>
          <w:color w:val="000000"/>
          <w:sz w:val="24"/>
          <w:szCs w:val="24"/>
        </w:rPr>
        <w:t xml:space="preserve">управлінням благоустрою та житлової політики виконкому Криворізької міської ради </w:t>
      </w:r>
      <w:r w:rsidRPr="00110C5D">
        <w:rPr>
          <w:rFonts w:ascii="Times New Roman" w:hAnsi="Times New Roman"/>
          <w:b/>
          <w:i/>
          <w:sz w:val="24"/>
          <w:szCs w:val="24"/>
        </w:rPr>
        <w:t>через Центр адміністративних послуг «Віза»</w:t>
      </w:r>
    </w:p>
    <w:p w:rsidR="00C67B3A" w:rsidRPr="00110C5D" w:rsidRDefault="00C67B3A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i/>
          <w:sz w:val="24"/>
          <w:szCs w:val="24"/>
        </w:rPr>
        <w:t xml:space="preserve"> та його територіальних підрозділах</w:t>
      </w:r>
    </w:p>
    <w:p w:rsidR="00C67B3A" w:rsidRPr="00110C5D" w:rsidRDefault="00C67B3A" w:rsidP="00C67B3A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7B3A" w:rsidRPr="00110C5D" w:rsidRDefault="00C67B3A" w:rsidP="00C67B3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Pr="00110C5D">
        <w:rPr>
          <w:rFonts w:ascii="Times New Roman" w:hAnsi="Times New Roman"/>
          <w:b/>
          <w:i/>
          <w:sz w:val="24"/>
          <w:szCs w:val="24"/>
        </w:rPr>
        <w:t xml:space="preserve">зміна функціонального призначення приміщення, що переведено </w:t>
      </w:r>
    </w:p>
    <w:p w:rsidR="00C67B3A" w:rsidRPr="00110C5D" w:rsidRDefault="00C67B3A" w:rsidP="00C67B3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в нежитловий фонд</w:t>
      </w:r>
    </w:p>
    <w:p w:rsidR="00C67B3A" w:rsidRPr="00110C5D" w:rsidRDefault="00C67B3A" w:rsidP="00C67B3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10C5D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</w:p>
    <w:p w:rsidR="009557B3" w:rsidRPr="00110C5D" w:rsidRDefault="00C67B3A" w:rsidP="00C67B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0C5D"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      до _30__робочих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912"/>
        <w:gridCol w:w="2407"/>
        <w:gridCol w:w="2142"/>
        <w:gridCol w:w="1575"/>
      </w:tblGrid>
      <w:tr w:rsidR="00C67B3A" w:rsidRPr="00110C5D" w:rsidTr="00314AEE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C67B3A" w:rsidRPr="00110C5D" w:rsidTr="00314AEE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701435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тивних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послуг </w:t>
            </w:r>
            <w:r w:rsidR="00701435" w:rsidRPr="00110C5D">
              <w:rPr>
                <w:rFonts w:ascii="Times New Roman" w:hAnsi="Times New Roman"/>
                <w:sz w:val="24"/>
                <w:szCs w:val="24"/>
              </w:rPr>
              <w:t>«В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іза» (надалі - Центр) та його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тери</w:t>
            </w:r>
            <w:r w:rsidR="00526930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торіальних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під</w:t>
            </w:r>
            <w:r w:rsidR="00526930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розділів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(надалі - Адміністратор)</w:t>
            </w:r>
          </w:p>
          <w:p w:rsidR="00C67B3A" w:rsidRPr="00110C5D" w:rsidRDefault="00C67B3A" w:rsidP="00314A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Прийняття вхідного пакету документів для надання публічної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пос</w:t>
            </w:r>
            <w:r w:rsidR="00FD1A5E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, перевірка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FD1A5E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лектності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</w:tc>
      </w:tr>
      <w:tr w:rsidR="00C67B3A" w:rsidRPr="00110C5D" w:rsidTr="00314AEE">
        <w:trPr>
          <w:trHeight w:val="194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FD1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пакету документів в 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відповідальному за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веден</w:t>
            </w:r>
            <w:r w:rsidR="00FD1A5E" w:rsidRPr="00110C5D">
              <w:rPr>
                <w:rFonts w:ascii="Times New Roman" w:hAnsi="Times New Roman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="00FD1A5E" w:rsidRPr="001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5D">
              <w:rPr>
                <w:rFonts w:ascii="Times New Roman" w:hAnsi="Times New Roman"/>
                <w:sz w:val="24"/>
                <w:szCs w:val="24"/>
              </w:rPr>
              <w:t>діловодства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C6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управ-ління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 виконкому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Криво-різької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C67B3A" w:rsidRPr="00110C5D" w:rsidTr="00314AEE">
        <w:trPr>
          <w:trHeight w:val="1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Реєстрація вхідного пакету документів для надання публічної послуги в управлінні благоустрою та житлової політики 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виконкому Криворізької міської ради</w:t>
            </w:r>
          </w:p>
          <w:p w:rsidR="009557B3" w:rsidRPr="00110C5D" w:rsidRDefault="009557B3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Відповідальний працівник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управ-ління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 виконкому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Криво-різької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9557B3" w:rsidRPr="00110C5D" w:rsidTr="00314AEE">
        <w:trPr>
          <w:trHeight w:val="1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3" w:rsidRPr="00110C5D" w:rsidRDefault="009557B3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3" w:rsidRPr="00110C5D" w:rsidRDefault="009557B3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3" w:rsidRPr="00110C5D" w:rsidRDefault="009557B3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3" w:rsidRPr="00110C5D" w:rsidRDefault="009557B3" w:rsidP="00314AE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B3" w:rsidRPr="00110C5D" w:rsidRDefault="009557B3" w:rsidP="00314A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Розгляд пакету документів;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управ-ління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 виконкому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Криво-різької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5A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proofErr w:type="spellStart"/>
            <w:r w:rsidR="005A64F7" w:rsidRPr="00110C5D">
              <w:rPr>
                <w:rFonts w:ascii="Times New Roman" w:hAnsi="Times New Roman"/>
                <w:sz w:val="24"/>
                <w:szCs w:val="24"/>
              </w:rPr>
              <w:t>кален-дарних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благоуст</w:t>
            </w:r>
            <w:r w:rsidR="00526930"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рою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житлової політики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5A64F7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кален-дарних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міської ради  або листа про повернення документів на доопрацювання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="00526930"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ління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виконкому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Криво</w:t>
            </w:r>
            <w:r w:rsidR="00526930"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5A64F7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кален-дарних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="00526930"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ління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благоустрою та житлової політики виконкому </w:t>
            </w:r>
            <w:proofErr w:type="spellStart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Криво</w:t>
            </w:r>
            <w:r w:rsidR="00526930"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110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Протягом             3-х днів після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засі-дання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викон-кому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повідом-лення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резуль-тату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публічної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У 1-денний строк з дня отримання результату після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засі-дання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C5D">
              <w:rPr>
                <w:rFonts w:ascii="Times New Roman" w:hAnsi="Times New Roman"/>
                <w:sz w:val="24"/>
                <w:szCs w:val="24"/>
              </w:rPr>
              <w:t>викон-кому</w:t>
            </w:r>
            <w:proofErr w:type="spellEnd"/>
            <w:r w:rsidRPr="00110C5D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C67B3A" w:rsidRPr="00110C5D" w:rsidTr="00314AE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C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110C5D" w:rsidRDefault="00C67B3A" w:rsidP="0031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5D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C67B3A" w:rsidRPr="00110C5D" w:rsidRDefault="00C67B3A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C67B3A" w:rsidRPr="00110C5D" w:rsidRDefault="00C67B3A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C67B3A" w:rsidRPr="00110C5D" w:rsidRDefault="00C67B3A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E62A48" w:rsidRPr="00110C5D" w:rsidRDefault="00E62A48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51296A" w:rsidRPr="00110C5D" w:rsidRDefault="0051296A" w:rsidP="0051296A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110C5D">
        <w:rPr>
          <w:b/>
          <w:i/>
          <w:sz w:val="28"/>
          <w:szCs w:val="28"/>
          <w:lang w:val="uk-UA" w:eastAsia="uk-UA"/>
        </w:rPr>
        <w:t xml:space="preserve">Керуюча справами виконкому </w:t>
      </w:r>
      <w:r w:rsidRPr="00110C5D">
        <w:rPr>
          <w:b/>
          <w:i/>
          <w:sz w:val="28"/>
          <w:szCs w:val="28"/>
          <w:lang w:val="uk-UA" w:eastAsia="uk-UA"/>
        </w:rPr>
        <w:tab/>
      </w:r>
      <w:r w:rsidRPr="00110C5D">
        <w:rPr>
          <w:b/>
          <w:i/>
          <w:sz w:val="28"/>
          <w:szCs w:val="28"/>
          <w:lang w:val="uk-UA" w:eastAsia="uk-UA"/>
        </w:rPr>
        <w:tab/>
      </w:r>
      <w:r w:rsidRPr="00110C5D">
        <w:rPr>
          <w:b/>
          <w:i/>
          <w:sz w:val="28"/>
          <w:szCs w:val="28"/>
          <w:lang w:val="uk-UA" w:eastAsia="uk-UA"/>
        </w:rPr>
        <w:tab/>
      </w:r>
      <w:r w:rsidRPr="00110C5D">
        <w:rPr>
          <w:b/>
          <w:i/>
          <w:sz w:val="28"/>
          <w:szCs w:val="28"/>
          <w:lang w:val="uk-UA" w:eastAsia="uk-UA"/>
        </w:rPr>
        <w:tab/>
        <w:t xml:space="preserve">          Т.Мала</w:t>
      </w:r>
    </w:p>
    <w:p w:rsidR="0051296A" w:rsidRPr="00110C5D" w:rsidRDefault="0051296A" w:rsidP="0051296A">
      <w:pPr>
        <w:rPr>
          <w:i/>
        </w:rPr>
      </w:pPr>
    </w:p>
    <w:p w:rsidR="00F1285F" w:rsidRPr="00110C5D" w:rsidRDefault="00F1285F"/>
    <w:sectPr w:rsidR="00F1285F" w:rsidRPr="00110C5D" w:rsidSect="009557B3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F9" w:rsidRDefault="00625EF9" w:rsidP="004F4234">
      <w:pPr>
        <w:spacing w:after="0" w:line="240" w:lineRule="auto"/>
      </w:pPr>
      <w:r>
        <w:separator/>
      </w:r>
    </w:p>
  </w:endnote>
  <w:endnote w:type="continuationSeparator" w:id="0">
    <w:p w:rsidR="00625EF9" w:rsidRDefault="00625EF9" w:rsidP="004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F9" w:rsidRDefault="00625EF9" w:rsidP="004F4234">
      <w:pPr>
        <w:spacing w:after="0" w:line="240" w:lineRule="auto"/>
      </w:pPr>
      <w:r>
        <w:separator/>
      </w:r>
    </w:p>
  </w:footnote>
  <w:footnote w:type="continuationSeparator" w:id="0">
    <w:p w:rsidR="00625EF9" w:rsidRDefault="00625EF9" w:rsidP="004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355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57B3" w:rsidRPr="00701435" w:rsidRDefault="009557B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4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1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0C5D" w:rsidRPr="00110C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701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6FE5" w:rsidRPr="00FD1A5E" w:rsidRDefault="009557B3">
    <w:pPr>
      <w:pStyle w:val="a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A"/>
    <w:rsid w:val="00085FE8"/>
    <w:rsid w:val="000D1EDA"/>
    <w:rsid w:val="00110C5D"/>
    <w:rsid w:val="00110D44"/>
    <w:rsid w:val="00114093"/>
    <w:rsid w:val="00124357"/>
    <w:rsid w:val="0020796B"/>
    <w:rsid w:val="00273581"/>
    <w:rsid w:val="0030338B"/>
    <w:rsid w:val="00395A16"/>
    <w:rsid w:val="00473E6E"/>
    <w:rsid w:val="00477416"/>
    <w:rsid w:val="004F4234"/>
    <w:rsid w:val="0051296A"/>
    <w:rsid w:val="00526930"/>
    <w:rsid w:val="00540329"/>
    <w:rsid w:val="00546090"/>
    <w:rsid w:val="005A64F7"/>
    <w:rsid w:val="005A6A93"/>
    <w:rsid w:val="00625EF9"/>
    <w:rsid w:val="006A73BF"/>
    <w:rsid w:val="00701435"/>
    <w:rsid w:val="00776FE5"/>
    <w:rsid w:val="0079511F"/>
    <w:rsid w:val="007A0281"/>
    <w:rsid w:val="00832870"/>
    <w:rsid w:val="008A407A"/>
    <w:rsid w:val="009029EF"/>
    <w:rsid w:val="009557B3"/>
    <w:rsid w:val="009F0232"/>
    <w:rsid w:val="00AA472F"/>
    <w:rsid w:val="00B0001F"/>
    <w:rsid w:val="00B5181F"/>
    <w:rsid w:val="00B55B73"/>
    <w:rsid w:val="00C5611A"/>
    <w:rsid w:val="00C67B3A"/>
    <w:rsid w:val="00CA3567"/>
    <w:rsid w:val="00CC6F64"/>
    <w:rsid w:val="00E62A48"/>
    <w:rsid w:val="00ED3ED1"/>
    <w:rsid w:val="00F1285F"/>
    <w:rsid w:val="00FC04D2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semiHidden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semiHidden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oqer&#1089;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27</cp:revision>
  <cp:lastPrinted>2018-05-03T12:41:00Z</cp:lastPrinted>
  <dcterms:created xsi:type="dcterms:W3CDTF">2018-04-23T11:39:00Z</dcterms:created>
  <dcterms:modified xsi:type="dcterms:W3CDTF">2018-05-10T14:31:00Z</dcterms:modified>
</cp:coreProperties>
</file>