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AA" w:rsidRPr="0053502E" w:rsidRDefault="00354BAA" w:rsidP="0031257F">
      <w:pPr>
        <w:pStyle w:val="a3"/>
        <w:spacing w:before="0" w:beforeAutospacing="0" w:after="0" w:afterAutospacing="0"/>
        <w:ind w:firstLine="8931"/>
        <w:rPr>
          <w:i/>
          <w:lang w:val="uk-UA"/>
        </w:rPr>
      </w:pPr>
      <w:r w:rsidRPr="0053502E">
        <w:rPr>
          <w:i/>
          <w:lang w:val="uk-UA"/>
        </w:rPr>
        <w:t>Додаток до</w:t>
      </w:r>
    </w:p>
    <w:p w:rsidR="00354BAA" w:rsidRPr="0053502E" w:rsidRDefault="00354BAA" w:rsidP="0031257F">
      <w:pPr>
        <w:pStyle w:val="a3"/>
        <w:spacing w:before="0" w:beforeAutospacing="0" w:after="0" w:afterAutospacing="0"/>
        <w:ind w:firstLine="8931"/>
        <w:rPr>
          <w:i/>
          <w:lang w:val="uk-UA"/>
        </w:rPr>
      </w:pPr>
      <w:r w:rsidRPr="0053502E">
        <w:rPr>
          <w:i/>
          <w:lang w:val="uk-UA"/>
        </w:rPr>
        <w:t>Порядку оприлюднення інформації про діяльність</w:t>
      </w:r>
    </w:p>
    <w:p w:rsidR="009E2E00" w:rsidRPr="0053502E" w:rsidRDefault="00354BAA" w:rsidP="00354BAA">
      <w:pPr>
        <w:pStyle w:val="a3"/>
        <w:spacing w:before="0" w:beforeAutospacing="0" w:after="0" w:afterAutospacing="0"/>
        <w:ind w:firstLine="6237"/>
        <w:jc w:val="right"/>
        <w:rPr>
          <w:i/>
          <w:lang w:val="uk-UA"/>
        </w:rPr>
      </w:pPr>
      <w:r w:rsidRPr="0053502E">
        <w:rPr>
          <w:i/>
          <w:lang w:val="uk-UA"/>
        </w:rPr>
        <w:t>комунальних підприємств Криворізької міської ради</w:t>
      </w:r>
    </w:p>
    <w:p w:rsidR="009F3BCF" w:rsidRPr="0053502E" w:rsidRDefault="009F3BCF" w:rsidP="009F3BCF">
      <w:pPr>
        <w:pStyle w:val="a3"/>
        <w:spacing w:before="0" w:beforeAutospacing="0" w:after="0" w:afterAutospacing="0"/>
        <w:ind w:firstLine="6237"/>
        <w:jc w:val="right"/>
        <w:rPr>
          <w:i/>
          <w:sz w:val="28"/>
          <w:szCs w:val="28"/>
          <w:lang w:val="uk-UA"/>
        </w:rPr>
      </w:pPr>
    </w:p>
    <w:p w:rsidR="0008197C" w:rsidRPr="0053502E" w:rsidRDefault="0008197C" w:rsidP="0008197C">
      <w:pPr>
        <w:ind w:left="5387"/>
        <w:rPr>
          <w:i/>
        </w:rPr>
      </w:pPr>
    </w:p>
    <w:p w:rsidR="00893C7C" w:rsidRPr="0053502E" w:rsidRDefault="001906B6" w:rsidP="001906B6">
      <w:pPr>
        <w:jc w:val="center"/>
        <w:rPr>
          <w:b/>
          <w:i/>
        </w:rPr>
      </w:pPr>
      <w:r w:rsidRPr="0053502E">
        <w:rPr>
          <w:b/>
          <w:i/>
        </w:rPr>
        <w:t xml:space="preserve">Перелік інформації про діяльність комунальних </w:t>
      </w:r>
    </w:p>
    <w:p w:rsidR="001906B6" w:rsidRPr="0053502E" w:rsidRDefault="001906B6" w:rsidP="00893C7C">
      <w:pPr>
        <w:jc w:val="center"/>
        <w:rPr>
          <w:b/>
          <w:i/>
        </w:rPr>
      </w:pPr>
      <w:r w:rsidRPr="0053502E">
        <w:rPr>
          <w:b/>
          <w:i/>
        </w:rPr>
        <w:t>підприємств,</w:t>
      </w:r>
      <w:r w:rsidR="00893C7C" w:rsidRPr="0053502E">
        <w:rPr>
          <w:b/>
          <w:i/>
        </w:rPr>
        <w:t xml:space="preserve"> </w:t>
      </w:r>
      <w:r w:rsidR="00CC598B" w:rsidRPr="0053502E">
        <w:rPr>
          <w:b/>
          <w:i/>
        </w:rPr>
        <w:t xml:space="preserve">яка </w:t>
      </w:r>
      <w:r w:rsidRPr="0053502E">
        <w:rPr>
          <w:b/>
          <w:i/>
        </w:rPr>
        <w:t xml:space="preserve">підлягає обов’язковому </w:t>
      </w:r>
      <w:r w:rsidR="00EB6FB5" w:rsidRPr="0053502E">
        <w:rPr>
          <w:b/>
          <w:i/>
        </w:rPr>
        <w:t>оприлюдненню</w:t>
      </w:r>
    </w:p>
    <w:p w:rsidR="00893C7C" w:rsidRPr="0053502E" w:rsidRDefault="00893C7C" w:rsidP="00893C7C">
      <w:pPr>
        <w:jc w:val="center"/>
        <w:rPr>
          <w:b/>
          <w:i/>
        </w:rPr>
      </w:pPr>
    </w:p>
    <w:tbl>
      <w:tblPr>
        <w:tblStyle w:val="a8"/>
        <w:tblW w:w="0" w:type="auto"/>
        <w:tblLook w:val="04A0"/>
      </w:tblPr>
      <w:tblGrid>
        <w:gridCol w:w="559"/>
        <w:gridCol w:w="7182"/>
        <w:gridCol w:w="3124"/>
        <w:gridCol w:w="3637"/>
      </w:tblGrid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  <w:rPr>
                <w:b/>
                <w:i/>
              </w:rPr>
            </w:pPr>
            <w:r w:rsidRPr="0053502E">
              <w:rPr>
                <w:b/>
                <w:i/>
              </w:rPr>
              <w:t>№ з/п</w:t>
            </w:r>
          </w:p>
        </w:tc>
        <w:tc>
          <w:tcPr>
            <w:tcW w:w="7182" w:type="dxa"/>
          </w:tcPr>
          <w:p w:rsidR="00893C7C" w:rsidRPr="0053502E" w:rsidRDefault="00893C7C" w:rsidP="00893C7C">
            <w:pPr>
              <w:jc w:val="center"/>
              <w:rPr>
                <w:b/>
                <w:i/>
              </w:rPr>
            </w:pPr>
            <w:r w:rsidRPr="0053502E">
              <w:rPr>
                <w:b/>
                <w:i/>
                <w:sz w:val="26"/>
                <w:szCs w:val="26"/>
              </w:rPr>
              <w:t>Вид інформації, яка відповідно до статті 78 Господарського кодексу України, підлягає обов’язковому оприлюдненню</w:t>
            </w:r>
          </w:p>
        </w:tc>
        <w:tc>
          <w:tcPr>
            <w:tcW w:w="3124" w:type="dxa"/>
          </w:tcPr>
          <w:p w:rsidR="00893C7C" w:rsidRPr="0053502E" w:rsidRDefault="00893C7C" w:rsidP="00893C7C">
            <w:pPr>
              <w:jc w:val="center"/>
              <w:rPr>
                <w:b/>
                <w:i/>
              </w:rPr>
            </w:pPr>
            <w:r w:rsidRPr="0053502E">
              <w:rPr>
                <w:b/>
                <w:i/>
                <w:sz w:val="26"/>
                <w:szCs w:val="26"/>
              </w:rPr>
              <w:t>Періодичність оприлюднення</w:t>
            </w:r>
          </w:p>
        </w:tc>
        <w:tc>
          <w:tcPr>
            <w:tcW w:w="3637" w:type="dxa"/>
          </w:tcPr>
          <w:p w:rsidR="00893C7C" w:rsidRPr="0053502E" w:rsidRDefault="00893C7C" w:rsidP="00893C7C">
            <w:pPr>
              <w:jc w:val="center"/>
              <w:rPr>
                <w:b/>
                <w:i/>
              </w:rPr>
            </w:pPr>
            <w:r w:rsidRPr="0053502E">
              <w:rPr>
                <w:b/>
                <w:i/>
                <w:sz w:val="26"/>
                <w:szCs w:val="26"/>
              </w:rPr>
              <w:t>Строк оприлюднення</w:t>
            </w:r>
          </w:p>
        </w:tc>
      </w:tr>
      <w:tr w:rsidR="00BE2AC8" w:rsidRPr="0053502E" w:rsidTr="000444FA">
        <w:tc>
          <w:tcPr>
            <w:tcW w:w="559" w:type="dxa"/>
          </w:tcPr>
          <w:p w:rsidR="00BE2AC8" w:rsidRPr="0053502E" w:rsidRDefault="00BE2AC8" w:rsidP="00893C7C">
            <w:pPr>
              <w:jc w:val="center"/>
              <w:rPr>
                <w:b/>
                <w:i/>
              </w:rPr>
            </w:pPr>
            <w:r w:rsidRPr="0053502E">
              <w:rPr>
                <w:b/>
                <w:i/>
              </w:rPr>
              <w:t>1</w:t>
            </w:r>
          </w:p>
        </w:tc>
        <w:tc>
          <w:tcPr>
            <w:tcW w:w="7182" w:type="dxa"/>
          </w:tcPr>
          <w:p w:rsidR="00BE2AC8" w:rsidRPr="0053502E" w:rsidRDefault="00BE2AC8" w:rsidP="00893C7C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124" w:type="dxa"/>
          </w:tcPr>
          <w:p w:rsidR="00BE2AC8" w:rsidRPr="0053502E" w:rsidRDefault="00BE2AC8" w:rsidP="00893C7C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637" w:type="dxa"/>
          </w:tcPr>
          <w:p w:rsidR="00BE2AC8" w:rsidRPr="0053502E" w:rsidRDefault="00BE2AC8" w:rsidP="00893C7C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</w:pPr>
            <w:r w:rsidRPr="0053502E">
              <w:t>1</w:t>
            </w:r>
          </w:p>
        </w:tc>
        <w:tc>
          <w:tcPr>
            <w:tcW w:w="7182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Цілі діяльності комунального підприємства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щороку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одночасно з річною </w:t>
            </w:r>
            <w:r w:rsidR="000444FA" w:rsidRPr="0053502E">
              <w:rPr>
                <w:sz w:val="26"/>
                <w:szCs w:val="26"/>
              </w:rPr>
              <w:t>фінансо-</w:t>
            </w:r>
            <w:r w:rsidRPr="0053502E">
              <w:rPr>
                <w:sz w:val="26"/>
                <w:szCs w:val="26"/>
              </w:rPr>
              <w:t>вою звітністю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</w:pPr>
            <w:r w:rsidRPr="0053502E">
              <w:t>2</w:t>
            </w:r>
          </w:p>
        </w:tc>
        <w:tc>
          <w:tcPr>
            <w:tcW w:w="7182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Квартальна фінансова звітність </w:t>
            </w:r>
            <w:r w:rsidR="00392E12" w:rsidRPr="0053502E">
              <w:rPr>
                <w:sz w:val="26"/>
                <w:szCs w:val="26"/>
              </w:rPr>
              <w:t xml:space="preserve">підприємства </w:t>
            </w:r>
            <w:r w:rsidRPr="0053502E">
              <w:rPr>
                <w:sz w:val="26"/>
                <w:szCs w:val="26"/>
              </w:rPr>
              <w:t>(Ф-1, Ф-2), у тому числі за останні 3 роки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щокварталу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не пізніше останнього числа місяця, що настає за звітним кварталом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</w:pPr>
            <w:r w:rsidRPr="0053502E">
              <w:t>3</w:t>
            </w:r>
          </w:p>
        </w:tc>
        <w:tc>
          <w:tcPr>
            <w:tcW w:w="7182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Річна фінансова звітність </w:t>
            </w:r>
            <w:r w:rsidR="00392E12" w:rsidRPr="0053502E">
              <w:rPr>
                <w:sz w:val="26"/>
                <w:szCs w:val="26"/>
              </w:rPr>
              <w:t xml:space="preserve">підприємства </w:t>
            </w:r>
            <w:r w:rsidRPr="0053502E">
              <w:rPr>
                <w:sz w:val="26"/>
                <w:szCs w:val="26"/>
              </w:rPr>
              <w:t>(Ф-1, Ф-2), у тому числі за останні 3 роки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щороку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не пізніше 30 квітня року, що настає за звітним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</w:pPr>
            <w:r w:rsidRPr="0053502E">
              <w:t>4</w:t>
            </w:r>
          </w:p>
        </w:tc>
        <w:tc>
          <w:tcPr>
            <w:tcW w:w="7182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Аудиторські висновки щодо річної фінансової звітності </w:t>
            </w:r>
            <w:r w:rsidR="00392E12" w:rsidRPr="0053502E">
              <w:rPr>
                <w:sz w:val="26"/>
                <w:szCs w:val="26"/>
              </w:rPr>
              <w:t xml:space="preserve">підприємства </w:t>
            </w:r>
            <w:r w:rsidRPr="0053502E">
              <w:rPr>
                <w:sz w:val="26"/>
                <w:szCs w:val="26"/>
              </w:rPr>
              <w:t>за останні три роки, якщо аудит проводився відповідно до вимоги закону або за рішенням наглядової ради (у разі її утворення</w:t>
            </w:r>
            <w:r w:rsidR="00392E12" w:rsidRPr="0053502E">
              <w:rPr>
                <w:sz w:val="26"/>
                <w:szCs w:val="26"/>
              </w:rPr>
              <w:t xml:space="preserve"> на підприємстві</w:t>
            </w:r>
            <w:r w:rsidRPr="0053502E">
              <w:rPr>
                <w:sz w:val="26"/>
                <w:szCs w:val="26"/>
              </w:rPr>
              <w:t>) або суб’єкта управління об’єктами комунальної власності, що здійснює функції з управління підприємством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щороку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не пізніше 30 квітня року, що настає за звітним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</w:pPr>
            <w:r w:rsidRPr="0053502E">
              <w:t>5</w:t>
            </w:r>
          </w:p>
        </w:tc>
        <w:tc>
          <w:tcPr>
            <w:tcW w:w="7182" w:type="dxa"/>
          </w:tcPr>
          <w:p w:rsidR="00893C7C" w:rsidRPr="0053502E" w:rsidRDefault="00893C7C" w:rsidP="00112CD2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Статут підприємства </w:t>
            </w:r>
            <w:r w:rsidR="00392E12" w:rsidRPr="0053502E">
              <w:rPr>
                <w:sz w:val="26"/>
                <w:szCs w:val="26"/>
              </w:rPr>
              <w:t>у</w:t>
            </w:r>
            <w:r w:rsidRPr="0053502E">
              <w:rPr>
                <w:sz w:val="26"/>
                <w:szCs w:val="26"/>
              </w:rPr>
              <w:t xml:space="preserve"> чинній </w:t>
            </w:r>
            <w:r w:rsidR="00112CD2" w:rsidRPr="0053502E">
              <w:rPr>
                <w:sz w:val="26"/>
                <w:szCs w:val="26"/>
              </w:rPr>
              <w:t xml:space="preserve">та </w:t>
            </w:r>
            <w:r w:rsidR="006748DC" w:rsidRPr="0053502E">
              <w:rPr>
                <w:sz w:val="26"/>
                <w:szCs w:val="26"/>
              </w:rPr>
              <w:t>попередній редакці</w:t>
            </w:r>
            <w:r w:rsidR="00112CD2" w:rsidRPr="0053502E">
              <w:rPr>
                <w:sz w:val="26"/>
                <w:szCs w:val="26"/>
              </w:rPr>
              <w:t>ях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після </w:t>
            </w:r>
            <w:r w:rsidR="00392E12" w:rsidRPr="0053502E">
              <w:rPr>
                <w:sz w:val="26"/>
                <w:szCs w:val="26"/>
              </w:rPr>
              <w:t xml:space="preserve">його </w:t>
            </w:r>
            <w:r w:rsidRPr="0053502E">
              <w:rPr>
                <w:sz w:val="26"/>
                <w:szCs w:val="26"/>
              </w:rPr>
              <w:t>державної реєстрації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протягом 10 календарних днів з дня державної реєстрації</w:t>
            </w:r>
          </w:p>
        </w:tc>
      </w:tr>
      <w:tr w:rsidR="00893C7C" w:rsidRPr="0053502E" w:rsidTr="00F43966">
        <w:trPr>
          <w:trHeight w:val="146"/>
        </w:trPr>
        <w:tc>
          <w:tcPr>
            <w:tcW w:w="559" w:type="dxa"/>
          </w:tcPr>
          <w:p w:rsidR="00893C7C" w:rsidRPr="0053502E" w:rsidRDefault="00392E12" w:rsidP="00893C7C">
            <w:pPr>
              <w:jc w:val="center"/>
            </w:pPr>
            <w:r w:rsidRPr="0053502E">
              <w:t>6</w:t>
            </w:r>
          </w:p>
          <w:p w:rsidR="00F43966" w:rsidRPr="0053502E" w:rsidRDefault="00F43966" w:rsidP="00893C7C">
            <w:pPr>
              <w:jc w:val="center"/>
            </w:pPr>
          </w:p>
          <w:p w:rsidR="00F43966" w:rsidRPr="0053502E" w:rsidRDefault="00F43966" w:rsidP="00F43966"/>
        </w:tc>
        <w:tc>
          <w:tcPr>
            <w:tcW w:w="7182" w:type="dxa"/>
          </w:tcPr>
          <w:p w:rsidR="00F43966" w:rsidRPr="0053502E" w:rsidRDefault="00893C7C" w:rsidP="00F43966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Біографічна довідка (включаючи </w:t>
            </w:r>
            <w:r w:rsidRPr="0053502E">
              <w:rPr>
                <w:color w:val="000000"/>
                <w:sz w:val="26"/>
                <w:szCs w:val="26"/>
              </w:rPr>
              <w:t>професійну характеристику) керівника підприємства (з урахуванням вимог законодавства про захист персональних даних)</w:t>
            </w:r>
            <w:r w:rsidR="00F43966" w:rsidRPr="005350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24" w:type="dxa"/>
          </w:tcPr>
          <w:p w:rsidR="00893C7C" w:rsidRPr="0053502E" w:rsidRDefault="00893C7C" w:rsidP="001B44E3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</w:t>
            </w:r>
            <w:r w:rsidR="00392E12" w:rsidRPr="0053502E">
              <w:rPr>
                <w:sz w:val="26"/>
                <w:szCs w:val="26"/>
              </w:rPr>
              <w:t>оку; у разі призна</w:t>
            </w:r>
            <w:r w:rsidR="006A0C60" w:rsidRPr="0053502E">
              <w:rPr>
                <w:sz w:val="26"/>
                <w:szCs w:val="26"/>
              </w:rPr>
              <w:t>-</w:t>
            </w:r>
            <w:r w:rsidR="00392E12" w:rsidRPr="0053502E">
              <w:rPr>
                <w:sz w:val="26"/>
                <w:szCs w:val="26"/>
              </w:rPr>
              <w:t xml:space="preserve">чення нового керівника підприємства </w:t>
            </w:r>
            <w:r w:rsidR="001B44E3" w:rsidRPr="0053502E">
              <w:rPr>
                <w:sz w:val="26"/>
                <w:szCs w:val="26"/>
              </w:rPr>
              <w:t xml:space="preserve">   </w:t>
            </w:r>
            <w:r w:rsidR="008C45A3" w:rsidRPr="0053502E">
              <w:rPr>
                <w:sz w:val="26"/>
                <w:szCs w:val="26"/>
              </w:rPr>
              <w:t xml:space="preserve"> </w:t>
            </w:r>
            <w:r w:rsidRPr="0053502E">
              <w:rPr>
                <w:sz w:val="26"/>
                <w:szCs w:val="26"/>
              </w:rPr>
              <w:t xml:space="preserve">– </w:t>
            </w:r>
            <w:r w:rsidR="001B44E3" w:rsidRPr="0053502E">
              <w:rPr>
                <w:sz w:val="26"/>
                <w:szCs w:val="26"/>
              </w:rPr>
              <w:t xml:space="preserve">   </w:t>
            </w:r>
            <w:r w:rsidR="008C45A3" w:rsidRPr="0053502E">
              <w:rPr>
                <w:sz w:val="26"/>
                <w:szCs w:val="26"/>
              </w:rPr>
              <w:t xml:space="preserve"> </w:t>
            </w:r>
            <w:r w:rsidRPr="0053502E">
              <w:rPr>
                <w:sz w:val="26"/>
                <w:szCs w:val="26"/>
              </w:rPr>
              <w:t xml:space="preserve">після </w:t>
            </w:r>
          </w:p>
        </w:tc>
        <w:tc>
          <w:tcPr>
            <w:tcW w:w="3637" w:type="dxa"/>
          </w:tcPr>
          <w:p w:rsidR="00893C7C" w:rsidRPr="0053502E" w:rsidRDefault="00893C7C" w:rsidP="00F43966">
            <w:pPr>
              <w:jc w:val="both"/>
              <w:rPr>
                <w:i/>
                <w:sz w:val="24"/>
                <w:szCs w:val="24"/>
              </w:rPr>
            </w:pPr>
            <w:r w:rsidRPr="0053502E">
              <w:rPr>
                <w:sz w:val="26"/>
                <w:szCs w:val="26"/>
              </w:rPr>
              <w:t xml:space="preserve">одночасно з річною </w:t>
            </w:r>
            <w:r w:rsidR="0017308E" w:rsidRPr="0053502E">
              <w:rPr>
                <w:sz w:val="26"/>
                <w:szCs w:val="26"/>
              </w:rPr>
              <w:t>фінансо-</w:t>
            </w:r>
            <w:r w:rsidRPr="0053502E">
              <w:rPr>
                <w:sz w:val="26"/>
                <w:szCs w:val="26"/>
              </w:rPr>
              <w:t>вою звітністю та у разі онов</w:t>
            </w:r>
            <w:r w:rsidR="0017308E" w:rsidRPr="0053502E">
              <w:rPr>
                <w:sz w:val="26"/>
                <w:szCs w:val="26"/>
              </w:rPr>
              <w:t>-</w:t>
            </w:r>
            <w:r w:rsidRPr="0053502E">
              <w:rPr>
                <w:sz w:val="26"/>
                <w:szCs w:val="26"/>
              </w:rPr>
              <w:t xml:space="preserve">лення такої інформації </w:t>
            </w:r>
            <w:r w:rsidR="008C45A3" w:rsidRPr="0053502E">
              <w:rPr>
                <w:sz w:val="26"/>
                <w:szCs w:val="26"/>
              </w:rPr>
              <w:t xml:space="preserve"> </w:t>
            </w:r>
            <w:r w:rsidRPr="0053502E">
              <w:rPr>
                <w:sz w:val="26"/>
                <w:szCs w:val="26"/>
              </w:rPr>
              <w:t>протя</w:t>
            </w:r>
            <w:r w:rsidR="006A0C60" w:rsidRPr="0053502E">
              <w:rPr>
                <w:sz w:val="26"/>
                <w:szCs w:val="26"/>
              </w:rPr>
              <w:t>-</w:t>
            </w:r>
          </w:p>
        </w:tc>
      </w:tr>
      <w:tr w:rsidR="00A12DB4" w:rsidRPr="0053502E" w:rsidTr="00A12DB4">
        <w:trPr>
          <w:trHeight w:val="675"/>
        </w:trPr>
        <w:tc>
          <w:tcPr>
            <w:tcW w:w="14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DB4" w:rsidRPr="0053502E" w:rsidRDefault="00A12DB4" w:rsidP="00A12DB4">
            <w:pPr>
              <w:jc w:val="center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lastRenderedPageBreak/>
              <w:t>2</w:t>
            </w:r>
          </w:p>
          <w:p w:rsidR="00A12DB4" w:rsidRPr="0053502E" w:rsidRDefault="00A12DB4" w:rsidP="00F43966">
            <w:pPr>
              <w:jc w:val="right"/>
              <w:rPr>
                <w:sz w:val="26"/>
                <w:szCs w:val="26"/>
              </w:rPr>
            </w:pPr>
            <w:r w:rsidRPr="0053502E">
              <w:rPr>
                <w:i/>
                <w:sz w:val="24"/>
                <w:szCs w:val="24"/>
              </w:rPr>
              <w:t>Продовження додатка</w:t>
            </w:r>
          </w:p>
        </w:tc>
      </w:tr>
      <w:tr w:rsidR="006C4C2A" w:rsidRPr="0053502E" w:rsidTr="006C4C2A">
        <w:trPr>
          <w:trHeight w:val="297"/>
        </w:trPr>
        <w:tc>
          <w:tcPr>
            <w:tcW w:w="559" w:type="dxa"/>
          </w:tcPr>
          <w:p w:rsidR="006C4C2A" w:rsidRPr="0053502E" w:rsidRDefault="006C4C2A" w:rsidP="00B46334">
            <w:pPr>
              <w:jc w:val="center"/>
              <w:rPr>
                <w:b/>
                <w:i/>
              </w:rPr>
            </w:pPr>
            <w:r w:rsidRPr="0053502E">
              <w:rPr>
                <w:b/>
                <w:i/>
              </w:rPr>
              <w:t>1</w:t>
            </w:r>
          </w:p>
        </w:tc>
        <w:tc>
          <w:tcPr>
            <w:tcW w:w="7182" w:type="dxa"/>
          </w:tcPr>
          <w:p w:rsidR="006C4C2A" w:rsidRPr="0053502E" w:rsidRDefault="006C4C2A" w:rsidP="00B46334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124" w:type="dxa"/>
          </w:tcPr>
          <w:p w:rsidR="006C4C2A" w:rsidRPr="0053502E" w:rsidRDefault="006C4C2A" w:rsidP="00B46334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637" w:type="dxa"/>
          </w:tcPr>
          <w:p w:rsidR="006C4C2A" w:rsidRPr="0053502E" w:rsidRDefault="006C4C2A" w:rsidP="00B46334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6C4C2A" w:rsidRPr="0053502E" w:rsidTr="000444FA">
        <w:trPr>
          <w:trHeight w:val="966"/>
        </w:trPr>
        <w:tc>
          <w:tcPr>
            <w:tcW w:w="559" w:type="dxa"/>
          </w:tcPr>
          <w:p w:rsidR="006C4C2A" w:rsidRPr="0053502E" w:rsidRDefault="006C4C2A" w:rsidP="00B46334">
            <w:pPr>
              <w:jc w:val="center"/>
            </w:pPr>
          </w:p>
        </w:tc>
        <w:tc>
          <w:tcPr>
            <w:tcW w:w="7182" w:type="dxa"/>
          </w:tcPr>
          <w:p w:rsidR="006C4C2A" w:rsidRPr="0053502E" w:rsidRDefault="00611858" w:rsidP="00B46334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24" w:type="dxa"/>
          </w:tcPr>
          <w:p w:rsidR="006C4C2A" w:rsidRPr="0053502E" w:rsidRDefault="001B44E3" w:rsidP="00B46334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прийняття рішення про його призна</w:t>
            </w:r>
            <w:r w:rsidR="006C4C2A" w:rsidRPr="0053502E">
              <w:rPr>
                <w:sz w:val="26"/>
                <w:szCs w:val="26"/>
              </w:rPr>
              <w:t xml:space="preserve">чення </w:t>
            </w:r>
          </w:p>
        </w:tc>
        <w:tc>
          <w:tcPr>
            <w:tcW w:w="3637" w:type="dxa"/>
          </w:tcPr>
          <w:p w:rsidR="006C4C2A" w:rsidRPr="0053502E" w:rsidRDefault="006C4C2A" w:rsidP="00B46334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гом 10 календарних днів з дня призначення на посаду нового керівника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392E12" w:rsidP="00893C7C">
            <w:pPr>
              <w:jc w:val="center"/>
            </w:pPr>
            <w:r w:rsidRPr="0053502E">
              <w:t>7</w:t>
            </w:r>
          </w:p>
        </w:tc>
        <w:tc>
          <w:tcPr>
            <w:tcW w:w="7182" w:type="dxa"/>
          </w:tcPr>
          <w:p w:rsidR="00B9515D" w:rsidRPr="0053502E" w:rsidRDefault="00893C7C" w:rsidP="007A5D35">
            <w:pPr>
              <w:jc w:val="both"/>
              <w:rPr>
                <w:color w:val="000000"/>
                <w:sz w:val="26"/>
                <w:szCs w:val="26"/>
              </w:rPr>
            </w:pPr>
            <w:r w:rsidRPr="0053502E">
              <w:rPr>
                <w:color w:val="000000"/>
                <w:sz w:val="26"/>
                <w:szCs w:val="26"/>
              </w:rPr>
              <w:t>Біографічні довідки (включаючи професійні характеристики) членів наглядової ради (у разі її утворення) підприємства (з урахуванням вимог законодавства про захист персональних даних), принципи їх добору, їхнє членство у наглядових радах інших суб’єктів господарюва</w:t>
            </w:r>
            <w:r w:rsidR="004B2276" w:rsidRPr="0053502E">
              <w:rPr>
                <w:color w:val="000000"/>
                <w:sz w:val="26"/>
                <w:szCs w:val="26"/>
              </w:rPr>
              <w:t xml:space="preserve">ння, а також зазначається, хто </w:t>
            </w:r>
            <w:r w:rsidRPr="0053502E">
              <w:rPr>
                <w:color w:val="000000"/>
                <w:sz w:val="26"/>
                <w:szCs w:val="26"/>
              </w:rPr>
              <w:t>з членів наглядової ради підприємства є незалежним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щороку; у разі призна</w:t>
            </w:r>
            <w:r w:rsidR="006A0C60" w:rsidRPr="0053502E">
              <w:rPr>
                <w:sz w:val="26"/>
                <w:szCs w:val="26"/>
              </w:rPr>
              <w:t>-</w:t>
            </w:r>
            <w:r w:rsidRPr="0053502E">
              <w:rPr>
                <w:sz w:val="26"/>
                <w:szCs w:val="26"/>
              </w:rPr>
              <w:t>чення нових членів нагля</w:t>
            </w:r>
            <w:r w:rsidR="006A0C60" w:rsidRPr="0053502E">
              <w:rPr>
                <w:sz w:val="26"/>
                <w:szCs w:val="26"/>
              </w:rPr>
              <w:t>-</w:t>
            </w:r>
            <w:r w:rsidRPr="0053502E">
              <w:rPr>
                <w:sz w:val="26"/>
                <w:szCs w:val="26"/>
              </w:rPr>
              <w:t xml:space="preserve">дової ради підприємства – після прийняття </w:t>
            </w:r>
            <w:r w:rsidR="006A0C60" w:rsidRPr="0053502E">
              <w:rPr>
                <w:sz w:val="26"/>
                <w:szCs w:val="26"/>
              </w:rPr>
              <w:t>рішен-</w:t>
            </w:r>
            <w:r w:rsidRPr="0053502E">
              <w:rPr>
                <w:sz w:val="26"/>
                <w:szCs w:val="26"/>
              </w:rPr>
              <w:t xml:space="preserve">ня про </w:t>
            </w:r>
            <w:r w:rsidR="00392E12" w:rsidRPr="0053502E">
              <w:rPr>
                <w:sz w:val="26"/>
                <w:szCs w:val="26"/>
              </w:rPr>
              <w:t xml:space="preserve">їх </w:t>
            </w:r>
            <w:r w:rsidRPr="0053502E">
              <w:rPr>
                <w:sz w:val="26"/>
                <w:szCs w:val="26"/>
              </w:rPr>
              <w:t>призначення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одночасно з річною фінансо</w:t>
            </w:r>
            <w:r w:rsidR="006A0C60" w:rsidRPr="0053502E">
              <w:rPr>
                <w:sz w:val="26"/>
                <w:szCs w:val="26"/>
              </w:rPr>
              <w:t>-</w:t>
            </w:r>
            <w:r w:rsidRPr="0053502E">
              <w:rPr>
                <w:sz w:val="26"/>
                <w:szCs w:val="26"/>
              </w:rPr>
              <w:t xml:space="preserve">вою звітністю та у разі оновлення такої інформації протягом 10 календарних днів з дня призначення на посаду 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392E12" w:rsidP="00893C7C">
            <w:pPr>
              <w:jc w:val="center"/>
            </w:pPr>
            <w:r w:rsidRPr="0053502E">
              <w:t>8</w:t>
            </w:r>
          </w:p>
        </w:tc>
        <w:tc>
          <w:tcPr>
            <w:tcW w:w="7182" w:type="dxa"/>
          </w:tcPr>
          <w:p w:rsidR="00B9515D" w:rsidRPr="0053502E" w:rsidRDefault="00893C7C" w:rsidP="007A5D35">
            <w:pPr>
              <w:jc w:val="both"/>
              <w:rPr>
                <w:color w:val="000000"/>
                <w:sz w:val="26"/>
                <w:szCs w:val="26"/>
              </w:rPr>
            </w:pPr>
            <w:r w:rsidRPr="0053502E">
              <w:rPr>
                <w:color w:val="000000"/>
                <w:sz w:val="26"/>
                <w:szCs w:val="26"/>
              </w:rPr>
              <w:t>Річні звіти керівника та наглядової ради (у разі її утворення) підприємства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щороку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одночасно з річною фінансо</w:t>
            </w:r>
            <w:r w:rsidR="006A0C60" w:rsidRPr="0053502E">
              <w:rPr>
                <w:sz w:val="26"/>
                <w:szCs w:val="26"/>
              </w:rPr>
              <w:t>-</w:t>
            </w:r>
            <w:r w:rsidRPr="0053502E">
              <w:rPr>
                <w:sz w:val="26"/>
                <w:szCs w:val="26"/>
              </w:rPr>
              <w:t>вою звітністю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392E12" w:rsidP="00893C7C">
            <w:pPr>
              <w:jc w:val="center"/>
            </w:pPr>
            <w:r w:rsidRPr="0053502E">
              <w:t>9</w:t>
            </w:r>
          </w:p>
        </w:tc>
        <w:tc>
          <w:tcPr>
            <w:tcW w:w="7182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color w:val="000000"/>
                <w:sz w:val="26"/>
                <w:szCs w:val="26"/>
              </w:rPr>
              <w:t>Структура, принципи формування і розмір винагороди керівника та членів наглядової ради</w:t>
            </w:r>
            <w:r w:rsidR="00DD3C6E" w:rsidRPr="0053502E">
              <w:rPr>
                <w:color w:val="000000"/>
                <w:sz w:val="26"/>
                <w:szCs w:val="26"/>
              </w:rPr>
              <w:t xml:space="preserve"> </w:t>
            </w:r>
            <w:r w:rsidR="00655681" w:rsidRPr="0053502E">
              <w:rPr>
                <w:color w:val="000000"/>
                <w:sz w:val="26"/>
                <w:szCs w:val="26"/>
              </w:rPr>
              <w:t xml:space="preserve"> </w:t>
            </w:r>
            <w:r w:rsidR="008A1C4E" w:rsidRPr="0053502E">
              <w:rPr>
                <w:color w:val="000000"/>
                <w:sz w:val="26"/>
                <w:szCs w:val="26"/>
              </w:rPr>
              <w:t xml:space="preserve">(у разі її утворення) </w:t>
            </w:r>
            <w:r w:rsidRPr="0053502E">
              <w:rPr>
                <w:color w:val="000000"/>
                <w:sz w:val="26"/>
                <w:szCs w:val="26"/>
              </w:rPr>
              <w:t xml:space="preserve"> підприємства, включаючи компенсаційні пакети і додаткові блага, які вони отримують (або на отримання яких мають право) під час виконання посадових</w:t>
            </w:r>
            <w:r w:rsidR="004B2276" w:rsidRPr="0053502E">
              <w:rPr>
                <w:color w:val="000000"/>
                <w:sz w:val="26"/>
                <w:szCs w:val="26"/>
              </w:rPr>
              <w:t xml:space="preserve"> обов’язків, а також у зв’язку </w:t>
            </w:r>
            <w:r w:rsidRPr="0053502E">
              <w:rPr>
                <w:color w:val="000000"/>
                <w:sz w:val="26"/>
                <w:szCs w:val="26"/>
              </w:rPr>
              <w:t>з</w:t>
            </w:r>
            <w:r w:rsidR="004B2276" w:rsidRPr="0053502E">
              <w:rPr>
                <w:color w:val="000000"/>
                <w:sz w:val="26"/>
                <w:szCs w:val="26"/>
              </w:rPr>
              <w:t>і</w:t>
            </w:r>
            <w:r w:rsidRPr="0053502E">
              <w:rPr>
                <w:color w:val="000000"/>
                <w:sz w:val="26"/>
                <w:szCs w:val="26"/>
              </w:rPr>
              <w:t xml:space="preserve"> звільненням (термін «додаткове благо» вживається у значе</w:t>
            </w:r>
            <w:r w:rsidR="00392E12" w:rsidRPr="0053502E">
              <w:rPr>
                <w:color w:val="000000"/>
                <w:sz w:val="26"/>
                <w:szCs w:val="26"/>
              </w:rPr>
              <w:t>нні, визначеному в Податковому к</w:t>
            </w:r>
            <w:r w:rsidRPr="0053502E">
              <w:rPr>
                <w:color w:val="000000"/>
                <w:sz w:val="26"/>
                <w:szCs w:val="26"/>
              </w:rPr>
              <w:t>одексі України)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щороку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одночасно з річною </w:t>
            </w:r>
            <w:r w:rsidR="006A0C60" w:rsidRPr="0053502E">
              <w:rPr>
                <w:sz w:val="26"/>
                <w:szCs w:val="26"/>
              </w:rPr>
              <w:t>фінансо-</w:t>
            </w:r>
            <w:r w:rsidRPr="0053502E">
              <w:rPr>
                <w:sz w:val="26"/>
                <w:szCs w:val="26"/>
              </w:rPr>
              <w:t>вою звітністю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</w:pPr>
            <w:r w:rsidRPr="0053502E">
              <w:t>1</w:t>
            </w:r>
            <w:r w:rsidR="00392E12" w:rsidRPr="0053502E">
              <w:t>0</w:t>
            </w:r>
          </w:p>
        </w:tc>
        <w:tc>
          <w:tcPr>
            <w:tcW w:w="7182" w:type="dxa"/>
          </w:tcPr>
          <w:p w:rsidR="00893C7C" w:rsidRPr="0053502E" w:rsidRDefault="00893C7C" w:rsidP="00392E12">
            <w:pPr>
              <w:jc w:val="both"/>
              <w:rPr>
                <w:color w:val="000000"/>
                <w:sz w:val="26"/>
                <w:szCs w:val="26"/>
              </w:rPr>
            </w:pPr>
            <w:r w:rsidRPr="0053502E">
              <w:rPr>
                <w:color w:val="000000"/>
                <w:sz w:val="26"/>
                <w:szCs w:val="26"/>
              </w:rPr>
              <w:t xml:space="preserve">Рішення </w:t>
            </w:r>
            <w:r w:rsidR="00392E12" w:rsidRPr="0053502E">
              <w:rPr>
                <w:color w:val="000000"/>
                <w:sz w:val="26"/>
                <w:szCs w:val="26"/>
              </w:rPr>
              <w:t>органу</w:t>
            </w:r>
            <w:r w:rsidRPr="0053502E">
              <w:rPr>
                <w:color w:val="000000"/>
                <w:sz w:val="26"/>
                <w:szCs w:val="26"/>
              </w:rPr>
              <w:t xml:space="preserve"> управління об’єктами комунальної власності щодо комунального підприємства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щороку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одночасно з річною </w:t>
            </w:r>
            <w:r w:rsidR="006A0C60" w:rsidRPr="0053502E">
              <w:rPr>
                <w:sz w:val="26"/>
                <w:szCs w:val="26"/>
              </w:rPr>
              <w:t>фінансо-</w:t>
            </w:r>
            <w:r w:rsidRPr="0053502E">
              <w:rPr>
                <w:sz w:val="26"/>
                <w:szCs w:val="26"/>
              </w:rPr>
              <w:t>вою звітністю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</w:pPr>
            <w:r w:rsidRPr="0053502E">
              <w:t>1</w:t>
            </w:r>
            <w:r w:rsidR="00A10020" w:rsidRPr="0053502E">
              <w:t>1</w:t>
            </w:r>
          </w:p>
        </w:tc>
        <w:tc>
          <w:tcPr>
            <w:tcW w:w="7182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color w:val="000000"/>
                <w:sz w:val="26"/>
                <w:szCs w:val="26"/>
              </w:rPr>
              <w:t>Опис істотних передбачуваних факторів ризику, що можуть вплинути на операції та результати діяльності підприємства</w:t>
            </w:r>
            <w:r w:rsidR="004B2276" w:rsidRPr="0053502E">
              <w:rPr>
                <w:color w:val="000000"/>
                <w:sz w:val="26"/>
                <w:szCs w:val="26"/>
              </w:rPr>
              <w:t>,</w:t>
            </w:r>
            <w:r w:rsidRPr="0053502E">
              <w:rPr>
                <w:color w:val="000000"/>
                <w:shd w:val="clear" w:color="auto" w:fill="FFFFFF"/>
              </w:rPr>
              <w:t xml:space="preserve"> </w:t>
            </w:r>
            <w:r w:rsidRPr="0053502E">
              <w:rPr>
                <w:color w:val="000000"/>
                <w:sz w:val="26"/>
                <w:szCs w:val="26"/>
              </w:rPr>
              <w:t>заходи щодо управління такими ризиками</w:t>
            </w:r>
          </w:p>
        </w:tc>
        <w:tc>
          <w:tcPr>
            <w:tcW w:w="3124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щороку</w:t>
            </w:r>
          </w:p>
        </w:tc>
        <w:tc>
          <w:tcPr>
            <w:tcW w:w="3637" w:type="dxa"/>
          </w:tcPr>
          <w:p w:rsidR="00893C7C" w:rsidRPr="0053502E" w:rsidRDefault="00893C7C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 xml:space="preserve">одночасно з річною </w:t>
            </w:r>
            <w:r w:rsidR="006A0C60" w:rsidRPr="0053502E">
              <w:rPr>
                <w:sz w:val="26"/>
                <w:szCs w:val="26"/>
              </w:rPr>
              <w:t>фінансо-</w:t>
            </w:r>
            <w:r w:rsidRPr="0053502E">
              <w:rPr>
                <w:sz w:val="26"/>
                <w:szCs w:val="26"/>
              </w:rPr>
              <w:t>вою звітністю</w:t>
            </w:r>
          </w:p>
        </w:tc>
      </w:tr>
      <w:tr w:rsidR="00893C7C" w:rsidRPr="0053502E" w:rsidTr="000444FA">
        <w:tc>
          <w:tcPr>
            <w:tcW w:w="559" w:type="dxa"/>
          </w:tcPr>
          <w:p w:rsidR="00893C7C" w:rsidRPr="0053502E" w:rsidRDefault="00893C7C" w:rsidP="00893C7C">
            <w:pPr>
              <w:jc w:val="center"/>
            </w:pPr>
            <w:r w:rsidRPr="0053502E">
              <w:t>1</w:t>
            </w:r>
            <w:r w:rsidR="00A10020" w:rsidRPr="0053502E">
              <w:t>2</w:t>
            </w:r>
          </w:p>
          <w:p w:rsidR="008C45A3" w:rsidRPr="0053502E" w:rsidRDefault="008C45A3" w:rsidP="00893C7C">
            <w:pPr>
              <w:jc w:val="center"/>
            </w:pPr>
          </w:p>
          <w:p w:rsidR="008C45A3" w:rsidRPr="0053502E" w:rsidRDefault="008C45A3" w:rsidP="00893C7C">
            <w:pPr>
              <w:jc w:val="center"/>
            </w:pPr>
          </w:p>
          <w:p w:rsidR="008C45A3" w:rsidRPr="0053502E" w:rsidRDefault="008C45A3" w:rsidP="00893C7C">
            <w:pPr>
              <w:jc w:val="center"/>
            </w:pPr>
          </w:p>
        </w:tc>
        <w:tc>
          <w:tcPr>
            <w:tcW w:w="7182" w:type="dxa"/>
          </w:tcPr>
          <w:p w:rsidR="00B9515D" w:rsidRPr="0053502E" w:rsidRDefault="00893C7C" w:rsidP="00B9515D">
            <w:pPr>
              <w:jc w:val="both"/>
              <w:rPr>
                <w:sz w:val="26"/>
                <w:szCs w:val="26"/>
              </w:rPr>
            </w:pPr>
            <w:r w:rsidRPr="0053502E">
              <w:rPr>
                <w:color w:val="000000"/>
                <w:sz w:val="26"/>
                <w:szCs w:val="26"/>
              </w:rPr>
              <w:t>Відомості про договори, учасником яких є підприємство, інформація про які підлягає оприлюдненню відповідно до</w:t>
            </w:r>
            <w:r w:rsidRPr="0053502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hyperlink r:id="rId8" w:tgtFrame="_blank" w:history="1">
              <w:r w:rsidRPr="0053502E">
                <w:rPr>
                  <w:rStyle w:val="a4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Закону України</w:t>
              </w:r>
            </w:hyperlink>
            <w:r w:rsidRPr="0053502E">
              <w:rPr>
                <w:rStyle w:val="apple-converted-space"/>
                <w:sz w:val="26"/>
                <w:szCs w:val="26"/>
              </w:rPr>
              <w:t xml:space="preserve">  </w:t>
            </w:r>
            <w:r w:rsidR="00A10020" w:rsidRPr="0053502E">
              <w:rPr>
                <w:color w:val="000000"/>
                <w:sz w:val="26"/>
                <w:szCs w:val="26"/>
              </w:rPr>
              <w:t>«</w:t>
            </w:r>
            <w:r w:rsidRPr="0053502E">
              <w:rPr>
                <w:color w:val="000000"/>
                <w:sz w:val="26"/>
                <w:szCs w:val="26"/>
              </w:rPr>
              <w:t>Про відкритість використання публічних коштів</w:t>
            </w:r>
            <w:r w:rsidR="00A10020" w:rsidRPr="0053502E">
              <w:rPr>
                <w:color w:val="000000"/>
                <w:sz w:val="26"/>
                <w:szCs w:val="26"/>
              </w:rPr>
              <w:t>»</w:t>
            </w:r>
            <w:r w:rsidR="00182AA3" w:rsidRPr="005350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24" w:type="dxa"/>
          </w:tcPr>
          <w:p w:rsidR="00893C7C" w:rsidRPr="0053502E" w:rsidRDefault="000E2485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</w:t>
            </w:r>
            <w:r w:rsidR="00893C7C" w:rsidRPr="0053502E">
              <w:rPr>
                <w:sz w:val="26"/>
                <w:szCs w:val="26"/>
              </w:rPr>
              <w:t>окварталу</w:t>
            </w:r>
          </w:p>
          <w:p w:rsidR="000E2485" w:rsidRPr="0053502E" w:rsidRDefault="000E2485" w:rsidP="007A5D35">
            <w:pPr>
              <w:jc w:val="both"/>
              <w:rPr>
                <w:sz w:val="26"/>
                <w:szCs w:val="26"/>
              </w:rPr>
            </w:pPr>
          </w:p>
          <w:p w:rsidR="000E2485" w:rsidRPr="0053502E" w:rsidRDefault="000E2485" w:rsidP="007A5D35">
            <w:pPr>
              <w:jc w:val="both"/>
              <w:rPr>
                <w:sz w:val="26"/>
                <w:szCs w:val="26"/>
              </w:rPr>
            </w:pPr>
          </w:p>
          <w:p w:rsidR="000E2485" w:rsidRPr="0053502E" w:rsidRDefault="000E2485" w:rsidP="007A5D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7" w:type="dxa"/>
          </w:tcPr>
          <w:p w:rsidR="00893C7C" w:rsidRPr="0053502E" w:rsidRDefault="00A10020" w:rsidP="007A5D35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у терміни, визначені Законом України</w:t>
            </w:r>
            <w:r w:rsidR="00893C7C" w:rsidRPr="0053502E">
              <w:rPr>
                <w:sz w:val="26"/>
                <w:szCs w:val="26"/>
              </w:rPr>
              <w:t xml:space="preserve"> «Про відкритість використання публічних коштів»</w:t>
            </w:r>
          </w:p>
        </w:tc>
      </w:tr>
      <w:tr w:rsidR="002E69CC" w:rsidRPr="0053502E" w:rsidTr="00182AA3">
        <w:trPr>
          <w:trHeight w:val="310"/>
        </w:trPr>
        <w:tc>
          <w:tcPr>
            <w:tcW w:w="14502" w:type="dxa"/>
            <w:gridSpan w:val="4"/>
            <w:tcBorders>
              <w:top w:val="nil"/>
              <w:left w:val="nil"/>
              <w:right w:val="nil"/>
            </w:tcBorders>
          </w:tcPr>
          <w:p w:rsidR="002E69CC" w:rsidRPr="0053502E" w:rsidRDefault="002E69CC" w:rsidP="002E69CC">
            <w:pPr>
              <w:jc w:val="center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lastRenderedPageBreak/>
              <w:t>3</w:t>
            </w:r>
          </w:p>
          <w:p w:rsidR="002E69CC" w:rsidRPr="0053502E" w:rsidRDefault="002E69CC" w:rsidP="002E69CC">
            <w:pPr>
              <w:jc w:val="right"/>
              <w:rPr>
                <w:i/>
                <w:sz w:val="24"/>
                <w:szCs w:val="24"/>
              </w:rPr>
            </w:pPr>
            <w:r w:rsidRPr="0053502E">
              <w:rPr>
                <w:i/>
                <w:sz w:val="24"/>
                <w:szCs w:val="24"/>
              </w:rPr>
              <w:t>Продовження додатка</w:t>
            </w:r>
          </w:p>
          <w:p w:rsidR="00182AA3" w:rsidRPr="0053502E" w:rsidRDefault="00182AA3" w:rsidP="002E69CC">
            <w:pPr>
              <w:jc w:val="right"/>
              <w:rPr>
                <w:sz w:val="10"/>
                <w:szCs w:val="10"/>
              </w:rPr>
            </w:pPr>
          </w:p>
        </w:tc>
      </w:tr>
      <w:tr w:rsidR="006C4C2A" w:rsidRPr="0053502E" w:rsidTr="006C4C2A">
        <w:trPr>
          <w:trHeight w:val="283"/>
        </w:trPr>
        <w:tc>
          <w:tcPr>
            <w:tcW w:w="559" w:type="dxa"/>
          </w:tcPr>
          <w:p w:rsidR="006C4C2A" w:rsidRPr="0053502E" w:rsidRDefault="006C4C2A" w:rsidP="00B46334">
            <w:pPr>
              <w:jc w:val="center"/>
              <w:rPr>
                <w:b/>
                <w:i/>
              </w:rPr>
            </w:pPr>
            <w:r w:rsidRPr="0053502E">
              <w:rPr>
                <w:b/>
                <w:i/>
              </w:rPr>
              <w:t>1</w:t>
            </w:r>
          </w:p>
        </w:tc>
        <w:tc>
          <w:tcPr>
            <w:tcW w:w="7182" w:type="dxa"/>
          </w:tcPr>
          <w:p w:rsidR="006C4C2A" w:rsidRPr="0053502E" w:rsidRDefault="006C4C2A" w:rsidP="00B46334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124" w:type="dxa"/>
          </w:tcPr>
          <w:p w:rsidR="006C4C2A" w:rsidRPr="0053502E" w:rsidRDefault="006C4C2A" w:rsidP="00B46334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637" w:type="dxa"/>
          </w:tcPr>
          <w:p w:rsidR="006C4C2A" w:rsidRPr="0053502E" w:rsidRDefault="006C4C2A" w:rsidP="00B46334">
            <w:pPr>
              <w:jc w:val="center"/>
              <w:rPr>
                <w:b/>
                <w:i/>
                <w:sz w:val="26"/>
                <w:szCs w:val="26"/>
              </w:rPr>
            </w:pPr>
            <w:r w:rsidRPr="0053502E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6C4C2A" w:rsidRPr="0053502E" w:rsidTr="000444FA">
        <w:trPr>
          <w:trHeight w:val="1495"/>
        </w:trPr>
        <w:tc>
          <w:tcPr>
            <w:tcW w:w="559" w:type="dxa"/>
          </w:tcPr>
          <w:p w:rsidR="006C4C2A" w:rsidRPr="0053502E" w:rsidRDefault="006C4C2A" w:rsidP="00B46334">
            <w:pPr>
              <w:jc w:val="center"/>
            </w:pPr>
            <w:r w:rsidRPr="0053502E">
              <w:t>13</w:t>
            </w:r>
          </w:p>
        </w:tc>
        <w:tc>
          <w:tcPr>
            <w:tcW w:w="7182" w:type="dxa"/>
          </w:tcPr>
          <w:p w:rsidR="006C4C2A" w:rsidRPr="0053502E" w:rsidRDefault="006C4C2A" w:rsidP="00B46334">
            <w:pPr>
              <w:jc w:val="both"/>
              <w:rPr>
                <w:color w:val="000000"/>
                <w:sz w:val="26"/>
                <w:szCs w:val="26"/>
              </w:rPr>
            </w:pPr>
            <w:r w:rsidRPr="0053502E">
              <w:rPr>
                <w:color w:val="000000"/>
                <w:sz w:val="26"/>
                <w:szCs w:val="26"/>
              </w:rPr>
              <w:t>Інформація про операції та зобов’язання підприємства з державним та/або місцевим бюджетом, державними та/або місцевими установами, підприємствами та організаціями, включаючи договірні зобов’язання підприємства (фінансові та нефінансові), що виникають у результаті державно-приватного партнерства</w:t>
            </w:r>
          </w:p>
        </w:tc>
        <w:tc>
          <w:tcPr>
            <w:tcW w:w="3124" w:type="dxa"/>
          </w:tcPr>
          <w:p w:rsidR="006C4C2A" w:rsidRPr="0053502E" w:rsidRDefault="006C4C2A" w:rsidP="00B46334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щокварталу</w:t>
            </w:r>
          </w:p>
        </w:tc>
        <w:tc>
          <w:tcPr>
            <w:tcW w:w="3637" w:type="dxa"/>
          </w:tcPr>
          <w:p w:rsidR="006C4C2A" w:rsidRPr="0053502E" w:rsidRDefault="006C4C2A" w:rsidP="00B46334">
            <w:pPr>
              <w:jc w:val="both"/>
              <w:rPr>
                <w:sz w:val="26"/>
                <w:szCs w:val="26"/>
              </w:rPr>
            </w:pPr>
            <w:r w:rsidRPr="0053502E">
              <w:rPr>
                <w:sz w:val="26"/>
                <w:szCs w:val="26"/>
              </w:rPr>
              <w:t>не пізніше останнього числа місяця, що настає за звітним кварталом</w:t>
            </w:r>
          </w:p>
        </w:tc>
      </w:tr>
    </w:tbl>
    <w:p w:rsidR="00AF263D" w:rsidRPr="0053502E" w:rsidRDefault="00AF263D" w:rsidP="006E0951">
      <w:pPr>
        <w:tabs>
          <w:tab w:val="left" w:pos="142"/>
          <w:tab w:val="left" w:pos="7088"/>
        </w:tabs>
        <w:rPr>
          <w:b/>
          <w:i/>
          <w:color w:val="000000"/>
        </w:rPr>
      </w:pPr>
    </w:p>
    <w:sectPr w:rsidR="00AF263D" w:rsidRPr="0053502E" w:rsidSect="000444FA">
      <w:footerReference w:type="default" r:id="rId9"/>
      <w:pgSz w:w="16838" w:h="11906" w:orient="landscape" w:code="9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87" w:rsidRDefault="003D3687">
      <w:r>
        <w:separator/>
      </w:r>
    </w:p>
  </w:endnote>
  <w:endnote w:type="continuationSeparator" w:id="1">
    <w:p w:rsidR="003D3687" w:rsidRDefault="003D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47" w:rsidRDefault="00792A47">
    <w:pPr>
      <w:pStyle w:val="a5"/>
      <w:jc w:val="right"/>
    </w:pPr>
  </w:p>
  <w:p w:rsidR="00DB2BA6" w:rsidRDefault="003D36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87" w:rsidRDefault="003D3687">
      <w:r>
        <w:separator/>
      </w:r>
    </w:p>
  </w:footnote>
  <w:footnote w:type="continuationSeparator" w:id="1">
    <w:p w:rsidR="003D3687" w:rsidRDefault="003D3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715"/>
    <w:multiLevelType w:val="hybridMultilevel"/>
    <w:tmpl w:val="E9700DB8"/>
    <w:lvl w:ilvl="0" w:tplc="E07A4F4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297F"/>
    <w:multiLevelType w:val="hybridMultilevel"/>
    <w:tmpl w:val="A300BB32"/>
    <w:lvl w:ilvl="0" w:tplc="039832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9E4625"/>
    <w:multiLevelType w:val="multilevel"/>
    <w:tmpl w:val="62EEBE4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8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1906B6"/>
    <w:rsid w:val="000133D8"/>
    <w:rsid w:val="00024D96"/>
    <w:rsid w:val="000347DD"/>
    <w:rsid w:val="000444FA"/>
    <w:rsid w:val="000613B9"/>
    <w:rsid w:val="00072BC3"/>
    <w:rsid w:val="0008197C"/>
    <w:rsid w:val="0009195E"/>
    <w:rsid w:val="000B3FE2"/>
    <w:rsid w:val="000B406F"/>
    <w:rsid w:val="000B4314"/>
    <w:rsid w:val="000C0299"/>
    <w:rsid w:val="000D1C7E"/>
    <w:rsid w:val="000D315B"/>
    <w:rsid w:val="000E2485"/>
    <w:rsid w:val="001032B0"/>
    <w:rsid w:val="00112CD2"/>
    <w:rsid w:val="0011665A"/>
    <w:rsid w:val="00122321"/>
    <w:rsid w:val="00134ADD"/>
    <w:rsid w:val="0017308E"/>
    <w:rsid w:val="00182AA3"/>
    <w:rsid w:val="001906B6"/>
    <w:rsid w:val="001A31C4"/>
    <w:rsid w:val="001B44E3"/>
    <w:rsid w:val="001B5574"/>
    <w:rsid w:val="001E158C"/>
    <w:rsid w:val="001F4F53"/>
    <w:rsid w:val="00214EF5"/>
    <w:rsid w:val="00275B48"/>
    <w:rsid w:val="00287E37"/>
    <w:rsid w:val="00295DF9"/>
    <w:rsid w:val="002B0BE9"/>
    <w:rsid w:val="002B1AF5"/>
    <w:rsid w:val="002D5ADC"/>
    <w:rsid w:val="002D6D11"/>
    <w:rsid w:val="002E61B7"/>
    <w:rsid w:val="002E69CC"/>
    <w:rsid w:val="002F24C8"/>
    <w:rsid w:val="00302168"/>
    <w:rsid w:val="00305200"/>
    <w:rsid w:val="0031257F"/>
    <w:rsid w:val="00325206"/>
    <w:rsid w:val="0034086D"/>
    <w:rsid w:val="0034098C"/>
    <w:rsid w:val="00354BAA"/>
    <w:rsid w:val="00354FA5"/>
    <w:rsid w:val="00371E34"/>
    <w:rsid w:val="003752B9"/>
    <w:rsid w:val="00380672"/>
    <w:rsid w:val="00392E12"/>
    <w:rsid w:val="0039508F"/>
    <w:rsid w:val="003C030F"/>
    <w:rsid w:val="003D3687"/>
    <w:rsid w:val="003D4E97"/>
    <w:rsid w:val="003E2C53"/>
    <w:rsid w:val="003E6273"/>
    <w:rsid w:val="00405546"/>
    <w:rsid w:val="00414278"/>
    <w:rsid w:val="004142DD"/>
    <w:rsid w:val="00423BAA"/>
    <w:rsid w:val="00427536"/>
    <w:rsid w:val="00437FED"/>
    <w:rsid w:val="0044286F"/>
    <w:rsid w:val="00451A33"/>
    <w:rsid w:val="00463FA5"/>
    <w:rsid w:val="004801CC"/>
    <w:rsid w:val="00483B66"/>
    <w:rsid w:val="004B2276"/>
    <w:rsid w:val="004B4496"/>
    <w:rsid w:val="004D422A"/>
    <w:rsid w:val="004D6EB0"/>
    <w:rsid w:val="004F0D22"/>
    <w:rsid w:val="004F433F"/>
    <w:rsid w:val="004F7245"/>
    <w:rsid w:val="0050211D"/>
    <w:rsid w:val="0050357E"/>
    <w:rsid w:val="00520035"/>
    <w:rsid w:val="005257D9"/>
    <w:rsid w:val="00531541"/>
    <w:rsid w:val="0053502E"/>
    <w:rsid w:val="005538C4"/>
    <w:rsid w:val="00561719"/>
    <w:rsid w:val="005666DB"/>
    <w:rsid w:val="0059237E"/>
    <w:rsid w:val="005964C2"/>
    <w:rsid w:val="005C4CAE"/>
    <w:rsid w:val="005F19C0"/>
    <w:rsid w:val="006024A1"/>
    <w:rsid w:val="00603C8F"/>
    <w:rsid w:val="006063FB"/>
    <w:rsid w:val="00611858"/>
    <w:rsid w:val="006337E1"/>
    <w:rsid w:val="00655681"/>
    <w:rsid w:val="00670E72"/>
    <w:rsid w:val="00672EC9"/>
    <w:rsid w:val="0067316F"/>
    <w:rsid w:val="006748DC"/>
    <w:rsid w:val="00677E79"/>
    <w:rsid w:val="006A0C60"/>
    <w:rsid w:val="006C2AD0"/>
    <w:rsid w:val="006C4C2A"/>
    <w:rsid w:val="006C5C05"/>
    <w:rsid w:val="006D6FFA"/>
    <w:rsid w:val="006E0951"/>
    <w:rsid w:val="006F2060"/>
    <w:rsid w:val="00711585"/>
    <w:rsid w:val="00733ED1"/>
    <w:rsid w:val="00763301"/>
    <w:rsid w:val="00792A47"/>
    <w:rsid w:val="00794B8E"/>
    <w:rsid w:val="007B39C8"/>
    <w:rsid w:val="007B7C2D"/>
    <w:rsid w:val="007C0DC1"/>
    <w:rsid w:val="007F7A13"/>
    <w:rsid w:val="00802C06"/>
    <w:rsid w:val="00822E94"/>
    <w:rsid w:val="008513A6"/>
    <w:rsid w:val="008513B0"/>
    <w:rsid w:val="00893C7C"/>
    <w:rsid w:val="008A1C4E"/>
    <w:rsid w:val="008C45A3"/>
    <w:rsid w:val="008D1777"/>
    <w:rsid w:val="008F1827"/>
    <w:rsid w:val="008F70A0"/>
    <w:rsid w:val="0093722C"/>
    <w:rsid w:val="00945B28"/>
    <w:rsid w:val="00950EBC"/>
    <w:rsid w:val="00967FB7"/>
    <w:rsid w:val="00977974"/>
    <w:rsid w:val="009A5588"/>
    <w:rsid w:val="009B60F5"/>
    <w:rsid w:val="009B6D36"/>
    <w:rsid w:val="009D4A17"/>
    <w:rsid w:val="009E2E00"/>
    <w:rsid w:val="009F3BCF"/>
    <w:rsid w:val="00A10020"/>
    <w:rsid w:val="00A12DB4"/>
    <w:rsid w:val="00A41F9D"/>
    <w:rsid w:val="00A72584"/>
    <w:rsid w:val="00A80724"/>
    <w:rsid w:val="00AB4A7E"/>
    <w:rsid w:val="00AB6953"/>
    <w:rsid w:val="00AC44ED"/>
    <w:rsid w:val="00AD72C8"/>
    <w:rsid w:val="00AF263D"/>
    <w:rsid w:val="00AF314B"/>
    <w:rsid w:val="00B234B3"/>
    <w:rsid w:val="00B5734D"/>
    <w:rsid w:val="00B907DF"/>
    <w:rsid w:val="00B9515D"/>
    <w:rsid w:val="00BA63E9"/>
    <w:rsid w:val="00BC65A0"/>
    <w:rsid w:val="00BE2AC8"/>
    <w:rsid w:val="00C4030A"/>
    <w:rsid w:val="00C45863"/>
    <w:rsid w:val="00C51E73"/>
    <w:rsid w:val="00C54E63"/>
    <w:rsid w:val="00C747B3"/>
    <w:rsid w:val="00C9498E"/>
    <w:rsid w:val="00CB0C43"/>
    <w:rsid w:val="00CC598B"/>
    <w:rsid w:val="00CD47EC"/>
    <w:rsid w:val="00CE0039"/>
    <w:rsid w:val="00CE4090"/>
    <w:rsid w:val="00D026E2"/>
    <w:rsid w:val="00D25042"/>
    <w:rsid w:val="00DD261B"/>
    <w:rsid w:val="00DD3C6E"/>
    <w:rsid w:val="00DE0114"/>
    <w:rsid w:val="00DE4AA6"/>
    <w:rsid w:val="00DE6F97"/>
    <w:rsid w:val="00E0274A"/>
    <w:rsid w:val="00E14479"/>
    <w:rsid w:val="00E41DC0"/>
    <w:rsid w:val="00E52F2E"/>
    <w:rsid w:val="00E67570"/>
    <w:rsid w:val="00E87EDA"/>
    <w:rsid w:val="00E9512E"/>
    <w:rsid w:val="00EA1A0B"/>
    <w:rsid w:val="00EA1C2A"/>
    <w:rsid w:val="00EB6FB5"/>
    <w:rsid w:val="00F261C7"/>
    <w:rsid w:val="00F27A13"/>
    <w:rsid w:val="00F333EE"/>
    <w:rsid w:val="00F42402"/>
    <w:rsid w:val="00F43966"/>
    <w:rsid w:val="00F80159"/>
    <w:rsid w:val="00F84315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06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906B6"/>
  </w:style>
  <w:style w:type="character" w:styleId="a4">
    <w:name w:val="Hyperlink"/>
    <w:uiPriority w:val="99"/>
    <w:rsid w:val="001906B6"/>
    <w:rPr>
      <w:color w:val="0000FF"/>
      <w:u w:val="single"/>
    </w:rPr>
  </w:style>
  <w:style w:type="paragraph" w:customStyle="1" w:styleId="rvps2">
    <w:name w:val="rvps2"/>
    <w:basedOn w:val="a"/>
    <w:rsid w:val="001906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90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6B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List Paragraph"/>
    <w:basedOn w:val="a"/>
    <w:uiPriority w:val="34"/>
    <w:qFormat/>
    <w:rsid w:val="003E2C53"/>
    <w:pPr>
      <w:ind w:left="720"/>
      <w:contextualSpacing/>
    </w:pPr>
  </w:style>
  <w:style w:type="table" w:styleId="a8">
    <w:name w:val="Table Grid"/>
    <w:basedOn w:val="a1"/>
    <w:uiPriority w:val="59"/>
    <w:rsid w:val="005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3722C"/>
    <w:pPr>
      <w:widowControl w:val="0"/>
      <w:suppressAutoHyphens/>
      <w:spacing w:after="120"/>
    </w:pPr>
    <w:rPr>
      <w:rFonts w:eastAsia="Andale Sans UI"/>
      <w:kern w:val="1"/>
      <w:sz w:val="24"/>
      <w:szCs w:val="24"/>
      <w:lang w:val="ru-RU" w:eastAsia="en-US"/>
    </w:rPr>
  </w:style>
  <w:style w:type="character" w:customStyle="1" w:styleId="aa">
    <w:name w:val="Основной текст Знак"/>
    <w:basedOn w:val="a0"/>
    <w:link w:val="a9"/>
    <w:rsid w:val="0093722C"/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024D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24D9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header"/>
    <w:basedOn w:val="a"/>
    <w:link w:val="ae"/>
    <w:uiPriority w:val="99"/>
    <w:unhideWhenUsed/>
    <w:rsid w:val="00792A4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2A47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06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906B6"/>
  </w:style>
  <w:style w:type="character" w:styleId="a4">
    <w:name w:val="Hyperlink"/>
    <w:uiPriority w:val="99"/>
    <w:rsid w:val="001906B6"/>
    <w:rPr>
      <w:color w:val="0000FF"/>
      <w:u w:val="single"/>
    </w:rPr>
  </w:style>
  <w:style w:type="paragraph" w:customStyle="1" w:styleId="rvps2">
    <w:name w:val="rvps2"/>
    <w:basedOn w:val="a"/>
    <w:rsid w:val="001906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90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6B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List Paragraph"/>
    <w:basedOn w:val="a"/>
    <w:uiPriority w:val="34"/>
    <w:qFormat/>
    <w:rsid w:val="003E2C53"/>
    <w:pPr>
      <w:ind w:left="720"/>
      <w:contextualSpacing/>
    </w:pPr>
  </w:style>
  <w:style w:type="table" w:styleId="a8">
    <w:name w:val="Table Grid"/>
    <w:basedOn w:val="a1"/>
    <w:uiPriority w:val="59"/>
    <w:rsid w:val="0059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93722C"/>
    <w:pPr>
      <w:widowControl w:val="0"/>
      <w:suppressAutoHyphens/>
      <w:spacing w:after="120"/>
    </w:pPr>
    <w:rPr>
      <w:rFonts w:eastAsia="Andale Sans UI"/>
      <w:kern w:val="1"/>
      <w:sz w:val="24"/>
      <w:szCs w:val="24"/>
      <w:lang w:val="ru-RU" w:eastAsia="en-US"/>
    </w:rPr>
  </w:style>
  <w:style w:type="character" w:customStyle="1" w:styleId="aa">
    <w:name w:val="Основной текст Знак"/>
    <w:basedOn w:val="a0"/>
    <w:link w:val="a9"/>
    <w:rsid w:val="0093722C"/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024D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24D9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header"/>
    <w:basedOn w:val="a"/>
    <w:link w:val="ae"/>
    <w:uiPriority w:val="99"/>
    <w:unhideWhenUsed/>
    <w:rsid w:val="00792A4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2A47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83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4533-CF1A-4233-9131-905383E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5</cp:revision>
  <cp:lastPrinted>2017-08-16T08:32:00Z</cp:lastPrinted>
  <dcterms:created xsi:type="dcterms:W3CDTF">2017-08-16T10:14:00Z</dcterms:created>
  <dcterms:modified xsi:type="dcterms:W3CDTF">2017-08-31T10:27:00Z</dcterms:modified>
</cp:coreProperties>
</file>