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4A20FE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A20F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Додаток 1</w:t>
      </w:r>
    </w:p>
    <w:p w:rsidR="00016076" w:rsidRPr="004A20FE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A20FE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4A20FE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4A20FE" w:rsidRDefault="004A20FE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20FE">
        <w:rPr>
          <w:rFonts w:ascii="Times New Roman" w:hAnsi="Times New Roman" w:cs="Times New Roman"/>
          <w:i/>
          <w:sz w:val="24"/>
          <w:szCs w:val="24"/>
          <w:lang w:val="uk-UA"/>
        </w:rPr>
        <w:t>12.04.2016 №1204</w:t>
      </w:r>
    </w:p>
    <w:p w:rsidR="00AA0D37" w:rsidRPr="004A20FE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4A20F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4A20F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4A20FE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4A20FE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4A20FE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8E2E56" w:rsidRPr="004A20FE" w:rsidRDefault="008E2E56" w:rsidP="0025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та безпеки дорожнього руху в місті Кривому Розі на період 2013</w:t>
            </w:r>
            <w:r w:rsidR="00CE1BCD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1BCD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років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програми:</w:t>
            </w:r>
          </w:p>
        </w:tc>
        <w:tc>
          <w:tcPr>
            <w:tcW w:w="6379" w:type="dxa"/>
          </w:tcPr>
          <w:p w:rsidR="00CE1BCD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 виконкому Криворізької міської ради</w:t>
            </w:r>
            <w:r w:rsidR="0014640F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політики, капітального будівництва виконкому Криворізької міської ради</w:t>
            </w:r>
            <w:r w:rsidR="0014640F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Мета:</w:t>
            </w:r>
          </w:p>
        </w:tc>
        <w:tc>
          <w:tcPr>
            <w:tcW w:w="6379" w:type="dxa"/>
          </w:tcPr>
          <w:p w:rsidR="008E2E56" w:rsidRPr="004A20FE" w:rsidRDefault="00DC100B" w:rsidP="00DC1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D1FB6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апобігання дорожньому травматизму, ужиття заходів з усунення причин та умов,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сприяють аварійності на доро</w:t>
            </w:r>
            <w:r w:rsidR="008D1FB6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гах, посилення безпеки дорожнього руху, поліпшення експлуатаційного стану автомобільних доріг і об'єктів  дорожньої інфраструктури</w:t>
            </w:r>
            <w:r w:rsidR="0014640F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68EC" w:rsidRPr="004A20FE" w:rsidRDefault="008F68EC" w:rsidP="00DC1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рік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CE1BCD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1BCD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 рік; 2017 рік; 2018 рік; 2019 рік; </w:t>
            </w:r>
            <w:r w:rsidR="00CE1BCD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8E2E56" w:rsidRPr="004A20FE" w:rsidTr="00AA0D37">
        <w:tc>
          <w:tcPr>
            <w:tcW w:w="3227" w:type="dxa"/>
          </w:tcPr>
          <w:p w:rsidR="008E2E56" w:rsidRPr="004A20FE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</w:tcPr>
          <w:p w:rsidR="008E2E56" w:rsidRPr="004A20FE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2E56" w:rsidRPr="004A20FE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1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"/>
        <w:gridCol w:w="1776"/>
        <w:gridCol w:w="1385"/>
        <w:gridCol w:w="1358"/>
        <w:gridCol w:w="1316"/>
        <w:gridCol w:w="1512"/>
        <w:gridCol w:w="1481"/>
      </w:tblGrid>
      <w:tr w:rsidR="00D515ED" w:rsidRPr="004A20FE" w:rsidTr="00D515ED">
        <w:tc>
          <w:tcPr>
            <w:tcW w:w="1354" w:type="dxa"/>
            <w:vMerge w:val="restart"/>
          </w:tcPr>
          <w:p w:rsidR="00155120" w:rsidRPr="004A20FE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Вид бюджету</w:t>
            </w:r>
          </w:p>
        </w:tc>
        <w:tc>
          <w:tcPr>
            <w:tcW w:w="1776" w:type="dxa"/>
            <w:vMerge w:val="restart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Орієнтовні обсяги фінансування, усього, </w:t>
            </w:r>
            <w:r w:rsidR="00016076"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             </w:t>
            </w: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тис.</w:t>
            </w:r>
            <w:r w:rsidR="00016076"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грн.</w:t>
            </w:r>
          </w:p>
        </w:tc>
        <w:tc>
          <w:tcPr>
            <w:tcW w:w="7052" w:type="dxa"/>
            <w:gridSpan w:val="5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За роками виконання</w:t>
            </w:r>
          </w:p>
        </w:tc>
      </w:tr>
      <w:tr w:rsidR="00D515ED" w:rsidRPr="004A20FE" w:rsidTr="00D515ED">
        <w:tc>
          <w:tcPr>
            <w:tcW w:w="1354" w:type="dxa"/>
            <w:vMerge/>
          </w:tcPr>
          <w:p w:rsidR="00155120" w:rsidRPr="004A20FE" w:rsidRDefault="00155120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76" w:type="dxa"/>
            <w:vMerge/>
          </w:tcPr>
          <w:p w:rsidR="00155120" w:rsidRPr="004A20FE" w:rsidRDefault="00155120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85" w:type="dxa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2013</w:t>
            </w:r>
            <w:r w:rsidR="00CE1BCD"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-2016 роки</w:t>
            </w:r>
          </w:p>
        </w:tc>
        <w:tc>
          <w:tcPr>
            <w:tcW w:w="1358" w:type="dxa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2017 рік</w:t>
            </w:r>
          </w:p>
        </w:tc>
        <w:tc>
          <w:tcPr>
            <w:tcW w:w="1316" w:type="dxa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2018 рік</w:t>
            </w:r>
          </w:p>
        </w:tc>
        <w:tc>
          <w:tcPr>
            <w:tcW w:w="1512" w:type="dxa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2019 рік</w:t>
            </w:r>
          </w:p>
        </w:tc>
        <w:tc>
          <w:tcPr>
            <w:tcW w:w="1481" w:type="dxa"/>
          </w:tcPr>
          <w:p w:rsidR="00155120" w:rsidRPr="004A20FE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2020 рік</w:t>
            </w:r>
          </w:p>
        </w:tc>
      </w:tr>
      <w:tr w:rsidR="00D515ED" w:rsidRPr="004A20FE" w:rsidTr="003F55F1">
        <w:tc>
          <w:tcPr>
            <w:tcW w:w="1354" w:type="dxa"/>
          </w:tcPr>
          <w:p w:rsidR="004048D8" w:rsidRPr="004A20FE" w:rsidRDefault="004048D8" w:rsidP="008E2E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Усього,</w:t>
            </w:r>
          </w:p>
          <w:p w:rsidR="004048D8" w:rsidRPr="004A20FE" w:rsidRDefault="004048D8" w:rsidP="004048D8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 тому числі:</w:t>
            </w:r>
          </w:p>
        </w:tc>
        <w:tc>
          <w:tcPr>
            <w:tcW w:w="1776" w:type="dxa"/>
            <w:vAlign w:val="center"/>
          </w:tcPr>
          <w:p w:rsidR="004048D8" w:rsidRPr="004A20FE" w:rsidRDefault="004828A8" w:rsidP="007257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4 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610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 </w:t>
            </w:r>
            <w:r w:rsidR="00725702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765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,</w:t>
            </w:r>
            <w:r w:rsidR="00725702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050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0</w:t>
            </w:r>
          </w:p>
        </w:tc>
        <w:tc>
          <w:tcPr>
            <w:tcW w:w="1385" w:type="dxa"/>
            <w:vAlign w:val="center"/>
          </w:tcPr>
          <w:p w:rsidR="004048D8" w:rsidRPr="004A20FE" w:rsidRDefault="00725702" w:rsidP="003F55F1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881 547,832</w:t>
            </w:r>
          </w:p>
        </w:tc>
        <w:tc>
          <w:tcPr>
            <w:tcW w:w="1358" w:type="dxa"/>
            <w:vAlign w:val="center"/>
          </w:tcPr>
          <w:p w:rsidR="004048D8" w:rsidRPr="004A20FE" w:rsidRDefault="00D515ED" w:rsidP="005B40C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6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9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2 118,105</w:t>
            </w:r>
          </w:p>
        </w:tc>
        <w:tc>
          <w:tcPr>
            <w:tcW w:w="1316" w:type="dxa"/>
            <w:vAlign w:val="center"/>
          </w:tcPr>
          <w:p w:rsidR="004048D8" w:rsidRPr="004A20FE" w:rsidRDefault="00D515ED" w:rsidP="003F55F1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845 230,616</w:t>
            </w:r>
          </w:p>
        </w:tc>
        <w:tc>
          <w:tcPr>
            <w:tcW w:w="1512" w:type="dxa"/>
            <w:vAlign w:val="center"/>
          </w:tcPr>
          <w:p w:rsidR="004048D8" w:rsidRPr="004A20FE" w:rsidRDefault="00D515ED" w:rsidP="005B40C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1 00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7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 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00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5,930</w:t>
            </w:r>
          </w:p>
        </w:tc>
        <w:tc>
          <w:tcPr>
            <w:tcW w:w="1481" w:type="dxa"/>
            <w:vAlign w:val="center"/>
          </w:tcPr>
          <w:p w:rsidR="004048D8" w:rsidRPr="004A20FE" w:rsidRDefault="00D515ED" w:rsidP="005B40C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1 1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8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4 </w:t>
            </w:r>
            <w:r w:rsidR="005B40C3"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8</w:t>
            </w: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65,570</w:t>
            </w:r>
          </w:p>
        </w:tc>
      </w:tr>
      <w:tr w:rsidR="004828A8" w:rsidRPr="004A20FE" w:rsidTr="003F55F1">
        <w:tc>
          <w:tcPr>
            <w:tcW w:w="1354" w:type="dxa"/>
          </w:tcPr>
          <w:p w:rsidR="004828A8" w:rsidRPr="004A20FE" w:rsidRDefault="004828A8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державний</w:t>
            </w:r>
          </w:p>
        </w:tc>
        <w:tc>
          <w:tcPr>
            <w:tcW w:w="1776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30 913,286</w:t>
            </w:r>
          </w:p>
        </w:tc>
        <w:tc>
          <w:tcPr>
            <w:tcW w:w="1385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30 913,286</w:t>
            </w:r>
          </w:p>
        </w:tc>
        <w:tc>
          <w:tcPr>
            <w:tcW w:w="1358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16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  <w:tr w:rsidR="004828A8" w:rsidRPr="004A20FE" w:rsidTr="003F55F1">
        <w:tc>
          <w:tcPr>
            <w:tcW w:w="1354" w:type="dxa"/>
          </w:tcPr>
          <w:p w:rsidR="004828A8" w:rsidRPr="004A20FE" w:rsidRDefault="004828A8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обласний</w:t>
            </w:r>
          </w:p>
        </w:tc>
        <w:tc>
          <w:tcPr>
            <w:tcW w:w="1776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4 689,171</w:t>
            </w:r>
          </w:p>
        </w:tc>
        <w:tc>
          <w:tcPr>
            <w:tcW w:w="1385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4 689,171</w:t>
            </w:r>
          </w:p>
        </w:tc>
        <w:tc>
          <w:tcPr>
            <w:tcW w:w="1358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16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  <w:tr w:rsidR="004828A8" w:rsidRPr="004A20FE" w:rsidTr="003F55F1">
        <w:tc>
          <w:tcPr>
            <w:tcW w:w="1354" w:type="dxa"/>
          </w:tcPr>
          <w:p w:rsidR="004828A8" w:rsidRPr="004A20FE" w:rsidRDefault="004828A8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міський</w:t>
            </w:r>
          </w:p>
        </w:tc>
        <w:tc>
          <w:tcPr>
            <w:tcW w:w="1776" w:type="dxa"/>
            <w:vAlign w:val="center"/>
          </w:tcPr>
          <w:p w:rsidR="004828A8" w:rsidRPr="004A20FE" w:rsidRDefault="00725702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4 575 165,600</w:t>
            </w:r>
          </w:p>
        </w:tc>
        <w:tc>
          <w:tcPr>
            <w:tcW w:w="1385" w:type="dxa"/>
            <w:vAlign w:val="center"/>
          </w:tcPr>
          <w:p w:rsidR="004828A8" w:rsidRPr="004A20FE" w:rsidRDefault="004828A8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845</w:t>
            </w:r>
            <w:r w:rsidR="00725702" w:rsidRPr="004A20FE">
              <w:rPr>
                <w:rFonts w:ascii="Times New Roman" w:hAnsi="Times New Roman" w:cs="Times New Roman"/>
                <w:szCs w:val="28"/>
                <w:lang w:val="uk-UA"/>
              </w:rPr>
              <w:t> 945,375</w:t>
            </w:r>
          </w:p>
        </w:tc>
        <w:tc>
          <w:tcPr>
            <w:tcW w:w="1358" w:type="dxa"/>
            <w:vAlign w:val="center"/>
          </w:tcPr>
          <w:p w:rsidR="004828A8" w:rsidRPr="004A20FE" w:rsidRDefault="004828A8" w:rsidP="005B40C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6</w:t>
            </w:r>
            <w:r w:rsidR="005B40C3" w:rsidRPr="004A20FE">
              <w:rPr>
                <w:rFonts w:ascii="Times New Roman" w:hAnsi="Times New Roman" w:cs="Times New Roman"/>
                <w:szCs w:val="28"/>
                <w:lang w:val="uk-UA"/>
              </w:rPr>
              <w:t>9</w:t>
            </w: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2 118,105</w:t>
            </w:r>
          </w:p>
        </w:tc>
        <w:tc>
          <w:tcPr>
            <w:tcW w:w="1316" w:type="dxa"/>
            <w:vAlign w:val="center"/>
          </w:tcPr>
          <w:p w:rsidR="004828A8" w:rsidRPr="004A20FE" w:rsidRDefault="004828A8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845 230,616</w:t>
            </w:r>
          </w:p>
        </w:tc>
        <w:tc>
          <w:tcPr>
            <w:tcW w:w="1512" w:type="dxa"/>
            <w:vAlign w:val="center"/>
          </w:tcPr>
          <w:p w:rsidR="004828A8" w:rsidRPr="004A20FE" w:rsidRDefault="004828A8" w:rsidP="005B40C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1 00</w:t>
            </w:r>
            <w:r w:rsidR="005B40C3" w:rsidRPr="004A20FE">
              <w:rPr>
                <w:rFonts w:ascii="Times New Roman" w:hAnsi="Times New Roman" w:cs="Times New Roman"/>
                <w:szCs w:val="28"/>
                <w:lang w:val="uk-UA"/>
              </w:rPr>
              <w:t>7</w:t>
            </w: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5B40C3" w:rsidRPr="004A20FE">
              <w:rPr>
                <w:rFonts w:ascii="Times New Roman" w:hAnsi="Times New Roman" w:cs="Times New Roman"/>
                <w:szCs w:val="28"/>
                <w:lang w:val="uk-UA"/>
              </w:rPr>
              <w:t>00</w:t>
            </w: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5,930</w:t>
            </w:r>
          </w:p>
        </w:tc>
        <w:tc>
          <w:tcPr>
            <w:tcW w:w="1481" w:type="dxa"/>
            <w:vAlign w:val="center"/>
          </w:tcPr>
          <w:p w:rsidR="004828A8" w:rsidRPr="004A20FE" w:rsidRDefault="004828A8" w:rsidP="005B40C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1 1</w:t>
            </w:r>
            <w:r w:rsidR="005B40C3" w:rsidRPr="004A20FE"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4 </w:t>
            </w:r>
            <w:r w:rsidR="005B40C3" w:rsidRPr="004A20FE"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65,570</w:t>
            </w:r>
          </w:p>
        </w:tc>
      </w:tr>
      <w:tr w:rsidR="004828A8" w:rsidRPr="004A20FE" w:rsidTr="003F55F1">
        <w:tc>
          <w:tcPr>
            <w:tcW w:w="1354" w:type="dxa"/>
          </w:tcPr>
          <w:p w:rsidR="004828A8" w:rsidRPr="004A20FE" w:rsidRDefault="004828A8" w:rsidP="008E2E5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інші джерела</w:t>
            </w:r>
          </w:p>
        </w:tc>
        <w:tc>
          <w:tcPr>
            <w:tcW w:w="1776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0,000</w:t>
            </w:r>
          </w:p>
        </w:tc>
        <w:tc>
          <w:tcPr>
            <w:tcW w:w="1385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58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316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512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  <w:tc>
          <w:tcPr>
            <w:tcW w:w="1481" w:type="dxa"/>
            <w:vAlign w:val="center"/>
          </w:tcPr>
          <w:p w:rsidR="004828A8" w:rsidRPr="004A20FE" w:rsidRDefault="004828A8" w:rsidP="003F55F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Cs w:val="28"/>
                <w:lang w:val="uk-UA"/>
              </w:rPr>
              <w:t>0,000</w:t>
            </w:r>
          </w:p>
        </w:tc>
      </w:tr>
    </w:tbl>
    <w:p w:rsidR="004A20FE" w:rsidRDefault="0014640F" w:rsidP="0014640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A20F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</w:t>
      </w:r>
    </w:p>
    <w:p w:rsidR="00CE1BCD" w:rsidRPr="004A20FE" w:rsidRDefault="0014640F" w:rsidP="0014640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A20FE">
        <w:rPr>
          <w:rFonts w:ascii="Times New Roman" w:hAnsi="Times New Roman" w:cs="Times New Roman"/>
          <w:i/>
          <w:sz w:val="24"/>
          <w:szCs w:val="28"/>
          <w:lang w:val="uk-UA"/>
        </w:rPr>
        <w:lastRenderedPageBreak/>
        <w:t xml:space="preserve"> </w:t>
      </w:r>
      <w:r w:rsidR="00CE1BCD" w:rsidRPr="004A20FE">
        <w:rPr>
          <w:rFonts w:ascii="Times New Roman" w:hAnsi="Times New Roman" w:cs="Times New Roman"/>
          <w:i/>
          <w:sz w:val="24"/>
          <w:szCs w:val="28"/>
          <w:lang w:val="uk-UA"/>
        </w:rPr>
        <w:t xml:space="preserve">Продовження </w:t>
      </w:r>
      <w:r w:rsidR="003F55F1" w:rsidRPr="004A20FE">
        <w:rPr>
          <w:rFonts w:ascii="Times New Roman" w:hAnsi="Times New Roman" w:cs="Times New Roman"/>
          <w:i/>
          <w:sz w:val="24"/>
          <w:szCs w:val="28"/>
          <w:lang w:val="uk-UA"/>
        </w:rPr>
        <w:t>д</w:t>
      </w:r>
      <w:r w:rsidR="00CE1BCD" w:rsidRPr="004A20FE">
        <w:rPr>
          <w:rFonts w:ascii="Times New Roman" w:hAnsi="Times New Roman" w:cs="Times New Roman"/>
          <w:i/>
          <w:sz w:val="24"/>
          <w:szCs w:val="28"/>
          <w:lang w:val="uk-UA"/>
        </w:rPr>
        <w:t>одатк</w:t>
      </w:r>
      <w:r w:rsidR="003F55F1" w:rsidRPr="004A20FE">
        <w:rPr>
          <w:rFonts w:ascii="Times New Roman" w:hAnsi="Times New Roman" w:cs="Times New Roman"/>
          <w:i/>
          <w:sz w:val="24"/>
          <w:szCs w:val="28"/>
          <w:lang w:val="uk-UA"/>
        </w:rPr>
        <w:t>а</w:t>
      </w:r>
      <w:r w:rsidR="00CE1BCD" w:rsidRPr="004A20F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1</w:t>
      </w:r>
    </w:p>
    <w:p w:rsidR="00D258B9" w:rsidRPr="004A20FE" w:rsidRDefault="00D258B9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A57B6F" w:rsidRPr="004A20FE" w:rsidTr="00CE1BCD">
        <w:tc>
          <w:tcPr>
            <w:tcW w:w="3369" w:type="dxa"/>
          </w:tcPr>
          <w:p w:rsidR="00A57B6F" w:rsidRPr="004A20FE" w:rsidRDefault="003F55F1" w:rsidP="00A57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</w:t>
            </w:r>
            <w:r w:rsidR="00A57B6F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кінцеві результати виконання Програми:</w:t>
            </w:r>
          </w:p>
        </w:tc>
        <w:tc>
          <w:tcPr>
            <w:tcW w:w="6237" w:type="dxa"/>
          </w:tcPr>
          <w:p w:rsidR="00A57B6F" w:rsidRPr="004A20FE" w:rsidRDefault="00DC100B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місць концентрації дорожньо-транспортних пригод</w:t>
            </w:r>
            <w:r w:rsidR="00600B72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кількості дорожньо-транспортних пригод через незадовільний стан вулично-дорожньої мережі</w:t>
            </w:r>
            <w:r w:rsidR="003F55F1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57B6F" w:rsidRPr="004A20FE" w:rsidTr="00CE1BCD">
        <w:tc>
          <w:tcPr>
            <w:tcW w:w="3369" w:type="dxa"/>
          </w:tcPr>
          <w:p w:rsidR="00A57B6F" w:rsidRPr="004A20FE" w:rsidRDefault="00A57B6F" w:rsidP="00A57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виконанням:</w:t>
            </w:r>
          </w:p>
        </w:tc>
        <w:tc>
          <w:tcPr>
            <w:tcW w:w="6237" w:type="dxa"/>
          </w:tcPr>
          <w:p w:rsidR="00C632D1" w:rsidRPr="004A20FE" w:rsidRDefault="00C632D1" w:rsidP="006D3C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Координацію за виконанням Програми здійснює у</w:t>
            </w:r>
            <w:r w:rsidR="000D0682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 w:rsidR="00371367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патрульної поліції</w:t>
            </w:r>
            <w:r w:rsidR="000D0682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016076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0682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м.Кривому</w:t>
            </w:r>
            <w:proofErr w:type="spellEnd"/>
            <w:r w:rsidR="000D0682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Розі департаменту патрульної поліції Національної поліції України</w:t>
            </w:r>
            <w:r w:rsidR="00B450B9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контроль – управління благоустрою та житлової політики вико</w:t>
            </w:r>
            <w:r w:rsidR="009E5479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нкому Криворізької міської ради</w:t>
            </w:r>
            <w:r w:rsidR="006D3CDE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благоустрою та житлової політики виконкому Криворізької міської ради щорічно звітує </w:t>
            </w:r>
            <w:r w:rsidR="00B450B9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Криворізькою міською радою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виконання </w:t>
            </w:r>
            <w:r w:rsidR="00B450B9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</w:t>
            </w:r>
            <w:r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Програми </w:t>
            </w:r>
            <w:r w:rsidR="00B450B9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завершення відповідного бюджетного періоду</w:t>
            </w:r>
            <w:r w:rsidR="0014640F" w:rsidRPr="004A2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57B6F" w:rsidRPr="004A20FE" w:rsidRDefault="00A57B6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4A20FE" w:rsidRDefault="006D3CDE" w:rsidP="006D3C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4. Механізм реалізації Програми</w:t>
      </w:r>
    </w:p>
    <w:p w:rsidR="006D3CDE" w:rsidRPr="004A20FE" w:rsidRDefault="006D3CDE" w:rsidP="006D3C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6D3CDE" w:rsidRPr="004A20FE" w:rsidRDefault="006D3CDE" w:rsidP="006D3CD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4A20FE">
        <w:rPr>
          <w:rFonts w:ascii="Times New Roman" w:hAnsi="Times New Roman" w:cs="Times New Roman"/>
          <w:bCs/>
          <w:sz w:val="28"/>
          <w:lang w:val="uk-UA"/>
        </w:rPr>
        <w:t>Одержувачі коштів забезпечують реалізацію заходів Програми, визначених у додатках 1, 2.</w:t>
      </w:r>
    </w:p>
    <w:p w:rsidR="006D3CDE" w:rsidRPr="004A20FE" w:rsidRDefault="006D3CDE" w:rsidP="006D3CD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6D3CDE" w:rsidRPr="004A20FE" w:rsidRDefault="001D1B27" w:rsidP="006D3CDE">
      <w:pPr>
        <w:tabs>
          <w:tab w:val="left" w:pos="127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4A20FE">
        <w:rPr>
          <w:rFonts w:ascii="Times New Roman" w:hAnsi="Times New Roman" w:cs="Times New Roman"/>
          <w:b/>
          <w:bCs/>
          <w:i/>
          <w:sz w:val="28"/>
          <w:lang w:val="uk-UA"/>
        </w:rPr>
        <w:t>8. Контроль</w:t>
      </w:r>
      <w:r w:rsidR="006D3CDE" w:rsidRPr="004A20FE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за виконанням Програми</w:t>
      </w:r>
    </w:p>
    <w:p w:rsidR="006D3CDE" w:rsidRPr="004A20FE" w:rsidRDefault="006D3CDE" w:rsidP="006D3CDE">
      <w:pPr>
        <w:tabs>
          <w:tab w:val="left" w:pos="127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</w:p>
    <w:p w:rsidR="00332DD4" w:rsidRPr="004A20FE" w:rsidRDefault="006D3CDE" w:rsidP="006D3CD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благоустрою та житлової політики виконкому Криворізької міської ради, 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та доповнень до Програми в разі необхідності включення додаткових завдань (заходів), уточнення показників,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обсягів та джерел фінансування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в порядку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передбаченому 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332DD4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CDE" w:rsidRPr="004A20FE" w:rsidRDefault="00332DD4" w:rsidP="006D3CD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благоустрою та житлової політики виконкому Криворізької міської ради </w:t>
      </w:r>
      <w:r w:rsidR="006D3CDE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несе відповідальність за своєчасне подання пропозицій 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3CDE" w:rsidRPr="004A20FE">
        <w:rPr>
          <w:rFonts w:ascii="Times New Roman" w:hAnsi="Times New Roman" w:cs="Times New Roman"/>
          <w:sz w:val="28"/>
          <w:szCs w:val="28"/>
          <w:lang w:val="uk-UA"/>
        </w:rPr>
        <w:t>внесенн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D3CDE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змін до Програми </w:t>
      </w:r>
      <w:r w:rsidRPr="004A20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3CDE" w:rsidRPr="004A20FE">
        <w:rPr>
          <w:rFonts w:ascii="Times New Roman" w:hAnsi="Times New Roman" w:cs="Times New Roman"/>
          <w:sz w:val="28"/>
          <w:szCs w:val="28"/>
          <w:lang w:val="uk-UA"/>
        </w:rPr>
        <w:t xml:space="preserve"> разі необхідності збільшення орієнтовного обсягу фінансування та інших необхідних змін.</w:t>
      </w:r>
    </w:p>
    <w:p w:rsidR="006D3CDE" w:rsidRPr="004A20FE" w:rsidRDefault="006D3CDE" w:rsidP="006D3C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7FDF" w:rsidRPr="004A20F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4A20F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4A20FE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4A20FE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4A20FE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bookmarkStart w:id="0" w:name="_GoBack"/>
      <w:bookmarkEnd w:id="0"/>
      <w:proofErr w:type="spellEnd"/>
    </w:p>
    <w:p w:rsidR="00023390" w:rsidRPr="004A20F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4A20FE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4A20FE" w:rsidRDefault="00023390" w:rsidP="00023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0F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sectPr w:rsidR="00023390" w:rsidRPr="004A20FE" w:rsidSect="00DF6E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23" w:rsidRDefault="00D52D23" w:rsidP="00CE1BCD">
      <w:pPr>
        <w:spacing w:after="0" w:line="240" w:lineRule="auto"/>
      </w:pPr>
      <w:r>
        <w:separator/>
      </w:r>
    </w:p>
  </w:endnote>
  <w:endnote w:type="continuationSeparator" w:id="0">
    <w:p w:rsidR="00D52D23" w:rsidRDefault="00D52D23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23" w:rsidRDefault="00D52D23" w:rsidP="00CE1BCD">
      <w:pPr>
        <w:spacing w:after="0" w:line="240" w:lineRule="auto"/>
      </w:pPr>
      <w:r>
        <w:separator/>
      </w:r>
    </w:p>
  </w:footnote>
  <w:footnote w:type="continuationSeparator" w:id="0">
    <w:p w:rsidR="00D52D23" w:rsidRDefault="00D52D23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502108"/>
      <w:docPartObj>
        <w:docPartGallery w:val="Page Numbers (Top of Page)"/>
        <w:docPartUnique/>
      </w:docPartObj>
    </w:sdtPr>
    <w:sdtContent>
      <w:p w:rsidR="004A20FE" w:rsidRDefault="004A20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0FE" w:rsidRDefault="004A20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D0682"/>
    <w:rsid w:val="0014640F"/>
    <w:rsid w:val="00155120"/>
    <w:rsid w:val="001D1B27"/>
    <w:rsid w:val="001D3A30"/>
    <w:rsid w:val="001F1251"/>
    <w:rsid w:val="00256522"/>
    <w:rsid w:val="002A5F72"/>
    <w:rsid w:val="00332DD4"/>
    <w:rsid w:val="00334A0F"/>
    <w:rsid w:val="00371367"/>
    <w:rsid w:val="003D1100"/>
    <w:rsid w:val="003F55F1"/>
    <w:rsid w:val="003F69A8"/>
    <w:rsid w:val="004048D8"/>
    <w:rsid w:val="00414DBD"/>
    <w:rsid w:val="00447B70"/>
    <w:rsid w:val="004828A8"/>
    <w:rsid w:val="004A20FE"/>
    <w:rsid w:val="004F7FDF"/>
    <w:rsid w:val="005B40C3"/>
    <w:rsid w:val="005B7A48"/>
    <w:rsid w:val="00600B72"/>
    <w:rsid w:val="006331E0"/>
    <w:rsid w:val="00636FDD"/>
    <w:rsid w:val="00644919"/>
    <w:rsid w:val="006C6300"/>
    <w:rsid w:val="006D3CDE"/>
    <w:rsid w:val="00725702"/>
    <w:rsid w:val="00730634"/>
    <w:rsid w:val="008034AA"/>
    <w:rsid w:val="008D1FB6"/>
    <w:rsid w:val="008E2E56"/>
    <w:rsid w:val="008F68EC"/>
    <w:rsid w:val="009E5479"/>
    <w:rsid w:val="00A060A3"/>
    <w:rsid w:val="00A07923"/>
    <w:rsid w:val="00A57B6F"/>
    <w:rsid w:val="00AA0D37"/>
    <w:rsid w:val="00B450B9"/>
    <w:rsid w:val="00B735D7"/>
    <w:rsid w:val="00C37DCE"/>
    <w:rsid w:val="00C632D1"/>
    <w:rsid w:val="00CA5F5A"/>
    <w:rsid w:val="00CE1BCD"/>
    <w:rsid w:val="00CF353D"/>
    <w:rsid w:val="00D258B9"/>
    <w:rsid w:val="00D42199"/>
    <w:rsid w:val="00D515ED"/>
    <w:rsid w:val="00D52D23"/>
    <w:rsid w:val="00DC100B"/>
    <w:rsid w:val="00DF6EF7"/>
    <w:rsid w:val="00E251D0"/>
    <w:rsid w:val="00E56B65"/>
    <w:rsid w:val="00EE0E2C"/>
    <w:rsid w:val="00F11E07"/>
    <w:rsid w:val="00F75081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7BDB-9880-4410-8C2A-6E60BA62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Гринько</dc:creator>
  <cp:keywords/>
  <dc:description/>
  <cp:lastModifiedBy>org301</cp:lastModifiedBy>
  <cp:revision>46</cp:revision>
  <cp:lastPrinted>2016-12-14T17:27:00Z</cp:lastPrinted>
  <dcterms:created xsi:type="dcterms:W3CDTF">2016-11-28T09:50:00Z</dcterms:created>
  <dcterms:modified xsi:type="dcterms:W3CDTF">2016-12-22T08:16:00Z</dcterms:modified>
</cp:coreProperties>
</file>